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9F638" w14:textId="77777777" w:rsidR="006824EC" w:rsidRPr="00CA3D66" w:rsidRDefault="006824EC" w:rsidP="006824EC">
      <w:pPr>
        <w:jc w:val="center"/>
        <w:rPr>
          <w:rFonts w:cs="Times New Roman"/>
        </w:rPr>
      </w:pPr>
      <w:bookmarkStart w:id="0" w:name="_Toc57341043"/>
    </w:p>
    <w:p w14:paraId="6E07930A" w14:textId="77777777" w:rsidR="006824EC" w:rsidRPr="00CA3D66" w:rsidRDefault="006824EC" w:rsidP="006824EC">
      <w:pPr>
        <w:jc w:val="center"/>
        <w:rPr>
          <w:rFonts w:cs="Times New Roman"/>
        </w:rPr>
      </w:pPr>
    </w:p>
    <w:p w14:paraId="33A0D886" w14:textId="77777777" w:rsidR="006824EC" w:rsidRPr="00CA3D66" w:rsidRDefault="006824EC" w:rsidP="006824EC">
      <w:pPr>
        <w:jc w:val="center"/>
        <w:rPr>
          <w:rFonts w:cs="Times New Roman"/>
        </w:rPr>
      </w:pPr>
    </w:p>
    <w:p w14:paraId="3C9F6A1E" w14:textId="77777777" w:rsidR="006824EC" w:rsidRPr="00CA3D66" w:rsidRDefault="006824EC" w:rsidP="006824EC">
      <w:pPr>
        <w:jc w:val="center"/>
        <w:rPr>
          <w:rFonts w:cs="Times New Roman"/>
          <w:color w:val="222222"/>
          <w:szCs w:val="24"/>
        </w:rPr>
      </w:pPr>
    </w:p>
    <w:p w14:paraId="4AB6C7C8" w14:textId="77777777" w:rsidR="006824EC" w:rsidRPr="00CA3D66" w:rsidRDefault="006824EC" w:rsidP="006824EC">
      <w:pPr>
        <w:ind w:left="1440" w:hanging="1440"/>
        <w:jc w:val="center"/>
        <w:rPr>
          <w:rFonts w:cs="Times New Roman"/>
          <w:color w:val="222222"/>
          <w:szCs w:val="24"/>
        </w:rPr>
      </w:pPr>
      <w:r w:rsidRPr="00CA3D66">
        <w:rPr>
          <w:rFonts w:cs="Times New Roman"/>
          <w:color w:val="222222"/>
          <w:szCs w:val="24"/>
        </w:rPr>
        <w:t xml:space="preserve">Topic Name: </w:t>
      </w:r>
    </w:p>
    <w:p w14:paraId="611B170D" w14:textId="77777777" w:rsidR="006824EC" w:rsidRPr="00CA3D66" w:rsidRDefault="006824EC" w:rsidP="006824EC">
      <w:pPr>
        <w:jc w:val="center"/>
        <w:rPr>
          <w:rFonts w:cs="Times New Roman"/>
          <w:color w:val="222222"/>
          <w:szCs w:val="24"/>
        </w:rPr>
      </w:pPr>
    </w:p>
    <w:p w14:paraId="67502DEE" w14:textId="77777777" w:rsidR="006824EC" w:rsidRPr="00CA3D66" w:rsidRDefault="006824EC" w:rsidP="006824EC">
      <w:pPr>
        <w:jc w:val="center"/>
        <w:rPr>
          <w:rFonts w:cs="Times New Roman"/>
          <w:szCs w:val="24"/>
        </w:rPr>
      </w:pPr>
      <w:r w:rsidRPr="00CA3D66">
        <w:rPr>
          <w:rFonts w:cs="Times New Roman"/>
          <w:szCs w:val="24"/>
        </w:rPr>
        <w:t>[Name of Student]</w:t>
      </w:r>
    </w:p>
    <w:p w14:paraId="09FEE5FF" w14:textId="77777777" w:rsidR="006824EC" w:rsidRPr="00CA3D66" w:rsidRDefault="006824EC" w:rsidP="006824EC">
      <w:pPr>
        <w:jc w:val="center"/>
        <w:rPr>
          <w:rFonts w:cs="Times New Roman"/>
          <w:szCs w:val="24"/>
        </w:rPr>
      </w:pPr>
      <w:r w:rsidRPr="00CA3D66">
        <w:rPr>
          <w:rFonts w:cs="Times New Roman"/>
          <w:szCs w:val="24"/>
        </w:rPr>
        <w:t>[Name of Institution]</w:t>
      </w:r>
    </w:p>
    <w:p w14:paraId="12CA15A5" w14:textId="77777777" w:rsidR="006824EC" w:rsidRPr="00CA3D66" w:rsidRDefault="006824EC" w:rsidP="006824EC">
      <w:pPr>
        <w:jc w:val="center"/>
        <w:rPr>
          <w:rFonts w:cs="Times New Roman"/>
          <w:szCs w:val="24"/>
        </w:rPr>
      </w:pPr>
    </w:p>
    <w:p w14:paraId="6DAD22A5" w14:textId="77777777" w:rsidR="006824EC" w:rsidRPr="00CA3D66" w:rsidRDefault="006824EC" w:rsidP="006824EC">
      <w:pPr>
        <w:jc w:val="center"/>
        <w:rPr>
          <w:rFonts w:cs="Times New Roman"/>
          <w:szCs w:val="24"/>
        </w:rPr>
      </w:pPr>
    </w:p>
    <w:p w14:paraId="26170DA0" w14:textId="77777777" w:rsidR="006824EC" w:rsidRPr="00CA3D66" w:rsidRDefault="006824EC" w:rsidP="006824EC">
      <w:pPr>
        <w:jc w:val="center"/>
        <w:rPr>
          <w:rFonts w:cs="Times New Roman"/>
          <w:szCs w:val="24"/>
        </w:rPr>
      </w:pPr>
    </w:p>
    <w:p w14:paraId="5D728C5D" w14:textId="77777777" w:rsidR="006824EC" w:rsidRPr="00CA3D66" w:rsidRDefault="006824EC" w:rsidP="006824EC">
      <w:pPr>
        <w:jc w:val="center"/>
        <w:rPr>
          <w:rFonts w:cs="Times New Roman"/>
          <w:szCs w:val="24"/>
        </w:rPr>
      </w:pPr>
      <w:r w:rsidRPr="00CA3D66">
        <w:rPr>
          <w:rFonts w:cs="Times New Roman"/>
          <w:szCs w:val="24"/>
        </w:rPr>
        <w:t>Dated:</w:t>
      </w:r>
    </w:p>
    <w:p w14:paraId="2CCD8367" w14:textId="77777777" w:rsidR="006824EC" w:rsidRDefault="006824EC" w:rsidP="00E36244">
      <w:pPr>
        <w:pStyle w:val="Heading1"/>
        <w:numPr>
          <w:ilvl w:val="0"/>
          <w:numId w:val="0"/>
        </w:numPr>
        <w:ind w:left="360"/>
      </w:pPr>
    </w:p>
    <w:p w14:paraId="4A2C6252" w14:textId="77777777" w:rsidR="006824EC" w:rsidRDefault="006824EC" w:rsidP="00E36244">
      <w:pPr>
        <w:pStyle w:val="Heading1"/>
        <w:numPr>
          <w:ilvl w:val="0"/>
          <w:numId w:val="0"/>
        </w:numPr>
        <w:ind w:left="360"/>
      </w:pPr>
    </w:p>
    <w:p w14:paraId="50A27904" w14:textId="77777777" w:rsidR="006824EC" w:rsidRDefault="006824EC" w:rsidP="00E36244">
      <w:pPr>
        <w:pStyle w:val="Heading1"/>
        <w:numPr>
          <w:ilvl w:val="0"/>
          <w:numId w:val="0"/>
        </w:numPr>
        <w:ind w:left="360"/>
      </w:pPr>
    </w:p>
    <w:p w14:paraId="7B906D46" w14:textId="77777777" w:rsidR="006824EC" w:rsidRDefault="006824EC" w:rsidP="00E36244">
      <w:pPr>
        <w:pStyle w:val="Heading1"/>
        <w:numPr>
          <w:ilvl w:val="0"/>
          <w:numId w:val="0"/>
        </w:numPr>
        <w:ind w:left="360"/>
      </w:pPr>
    </w:p>
    <w:p w14:paraId="63A4BE6E" w14:textId="77777777" w:rsidR="006824EC" w:rsidRDefault="006824EC" w:rsidP="00E36244">
      <w:pPr>
        <w:pStyle w:val="Heading1"/>
        <w:numPr>
          <w:ilvl w:val="0"/>
          <w:numId w:val="0"/>
        </w:numPr>
        <w:ind w:left="360"/>
      </w:pPr>
    </w:p>
    <w:p w14:paraId="6F8C0812" w14:textId="77777777" w:rsidR="006824EC" w:rsidRDefault="006824EC" w:rsidP="00E36244">
      <w:pPr>
        <w:pStyle w:val="Heading1"/>
        <w:numPr>
          <w:ilvl w:val="0"/>
          <w:numId w:val="0"/>
        </w:numPr>
        <w:ind w:left="360"/>
      </w:pPr>
    </w:p>
    <w:bookmarkEnd w:id="0"/>
    <w:p w14:paraId="5DBAF84F" w14:textId="77777777" w:rsidR="006824EC" w:rsidRDefault="006824EC" w:rsidP="00711065">
      <w:pPr>
        <w:spacing w:line="480" w:lineRule="auto"/>
        <w:ind w:firstLine="720"/>
      </w:pPr>
    </w:p>
    <w:p w14:paraId="4A00BB0F" w14:textId="77777777" w:rsidR="006824EC" w:rsidRDefault="006824EC" w:rsidP="00711065">
      <w:pPr>
        <w:spacing w:line="480" w:lineRule="auto"/>
        <w:ind w:firstLine="720"/>
      </w:pPr>
    </w:p>
    <w:p w14:paraId="55E35C74" w14:textId="25485ACC" w:rsidR="006824EC" w:rsidRDefault="006824EC" w:rsidP="00711065">
      <w:pPr>
        <w:spacing w:line="480" w:lineRule="auto"/>
        <w:ind w:firstLine="720"/>
      </w:pPr>
    </w:p>
    <w:p w14:paraId="63D0158E" w14:textId="77777777" w:rsidR="00E36244" w:rsidRDefault="00E36244" w:rsidP="00711065">
      <w:pPr>
        <w:spacing w:line="480" w:lineRule="auto"/>
        <w:ind w:firstLine="720"/>
      </w:pPr>
    </w:p>
    <w:p w14:paraId="5FA16264" w14:textId="77777777" w:rsidR="006824EC" w:rsidRDefault="006824EC" w:rsidP="00711065">
      <w:pPr>
        <w:spacing w:line="480" w:lineRule="auto"/>
        <w:ind w:firstLine="720"/>
      </w:pPr>
    </w:p>
    <w:sdt>
      <w:sdtPr>
        <w:id w:val="875130023"/>
        <w:docPartObj>
          <w:docPartGallery w:val="Table of Contents"/>
          <w:docPartUnique/>
        </w:docPartObj>
      </w:sdtPr>
      <w:sdtEndPr>
        <w:rPr>
          <w:rFonts w:ascii="Times New Roman" w:eastAsiaTheme="minorHAnsi" w:hAnsi="Times New Roman" w:cs="Times New Roman"/>
          <w:b/>
          <w:bCs/>
          <w:noProof/>
          <w:color w:val="auto"/>
          <w:sz w:val="24"/>
          <w:szCs w:val="24"/>
          <w:lang w:val="en-GB"/>
        </w:rPr>
      </w:sdtEndPr>
      <w:sdtContent>
        <w:p w14:paraId="23C07427" w14:textId="37EE235C" w:rsidR="006824EC" w:rsidRPr="00E36244" w:rsidRDefault="006824EC" w:rsidP="00E36244">
          <w:pPr>
            <w:pStyle w:val="TOCHeading"/>
            <w:jc w:val="center"/>
            <w:rPr>
              <w:rFonts w:ascii="Times New Roman" w:hAnsi="Times New Roman" w:cs="Times New Roman"/>
              <w:b/>
              <w:bCs/>
            </w:rPr>
          </w:pPr>
          <w:r w:rsidRPr="00E36244">
            <w:rPr>
              <w:rFonts w:ascii="Times New Roman" w:hAnsi="Times New Roman" w:cs="Times New Roman"/>
              <w:b/>
              <w:bCs/>
            </w:rPr>
            <w:t>Table of Contents</w:t>
          </w:r>
        </w:p>
        <w:p w14:paraId="101DDEBE" w14:textId="2F1F28EF" w:rsidR="006824EC" w:rsidRPr="006824EC" w:rsidRDefault="006824EC" w:rsidP="006824EC">
          <w:pPr>
            <w:pStyle w:val="TOC1"/>
            <w:tabs>
              <w:tab w:val="right" w:leader="dot" w:pos="9016"/>
            </w:tabs>
            <w:spacing w:line="480" w:lineRule="auto"/>
            <w:rPr>
              <w:rFonts w:cs="Times New Roman"/>
              <w:noProof/>
              <w:szCs w:val="24"/>
            </w:rPr>
          </w:pPr>
          <w:r w:rsidRPr="006824EC">
            <w:rPr>
              <w:rFonts w:cs="Times New Roman"/>
              <w:szCs w:val="24"/>
            </w:rPr>
            <w:fldChar w:fldCharType="begin"/>
          </w:r>
          <w:r w:rsidRPr="006824EC">
            <w:rPr>
              <w:rFonts w:cs="Times New Roman"/>
              <w:szCs w:val="24"/>
            </w:rPr>
            <w:instrText xml:space="preserve"> TOC \o "1-3" \h \z \u </w:instrText>
          </w:r>
          <w:r w:rsidRPr="006824EC">
            <w:rPr>
              <w:rFonts w:cs="Times New Roman"/>
              <w:szCs w:val="24"/>
            </w:rPr>
            <w:fldChar w:fldCharType="separate"/>
          </w:r>
          <w:hyperlink w:anchor="_Toc57521998" w:history="1">
            <w:r w:rsidRPr="006824EC">
              <w:rPr>
                <w:rStyle w:val="Hyperlink"/>
                <w:rFonts w:cs="Times New Roman"/>
                <w:noProof/>
                <w:szCs w:val="24"/>
              </w:rPr>
              <w:t>Introduction</w:t>
            </w:r>
            <w:r w:rsidRPr="006824EC">
              <w:rPr>
                <w:rFonts w:cs="Times New Roman"/>
                <w:noProof/>
                <w:webHidden/>
                <w:szCs w:val="24"/>
              </w:rPr>
              <w:tab/>
            </w:r>
            <w:r w:rsidRPr="006824EC">
              <w:rPr>
                <w:rFonts w:cs="Times New Roman"/>
                <w:noProof/>
                <w:webHidden/>
                <w:szCs w:val="24"/>
              </w:rPr>
              <w:fldChar w:fldCharType="begin"/>
            </w:r>
            <w:r w:rsidRPr="006824EC">
              <w:rPr>
                <w:rFonts w:cs="Times New Roman"/>
                <w:noProof/>
                <w:webHidden/>
                <w:szCs w:val="24"/>
              </w:rPr>
              <w:instrText xml:space="preserve"> PAGEREF _Toc57521998 \h </w:instrText>
            </w:r>
            <w:r w:rsidRPr="006824EC">
              <w:rPr>
                <w:rFonts w:cs="Times New Roman"/>
                <w:noProof/>
                <w:webHidden/>
                <w:szCs w:val="24"/>
              </w:rPr>
            </w:r>
            <w:r w:rsidRPr="006824EC">
              <w:rPr>
                <w:rFonts w:cs="Times New Roman"/>
                <w:noProof/>
                <w:webHidden/>
                <w:szCs w:val="24"/>
              </w:rPr>
              <w:fldChar w:fldCharType="separate"/>
            </w:r>
            <w:r w:rsidR="00E36244">
              <w:rPr>
                <w:rFonts w:cs="Times New Roman"/>
                <w:noProof/>
                <w:webHidden/>
                <w:szCs w:val="24"/>
              </w:rPr>
              <w:t>3</w:t>
            </w:r>
            <w:r w:rsidRPr="006824EC">
              <w:rPr>
                <w:rFonts w:cs="Times New Roman"/>
                <w:noProof/>
                <w:webHidden/>
                <w:szCs w:val="24"/>
              </w:rPr>
              <w:fldChar w:fldCharType="end"/>
            </w:r>
          </w:hyperlink>
        </w:p>
        <w:p w14:paraId="64F6DDD0" w14:textId="08B3279D" w:rsidR="006824EC" w:rsidRPr="006824EC" w:rsidRDefault="006824EC" w:rsidP="006824EC">
          <w:pPr>
            <w:pStyle w:val="TOC1"/>
            <w:tabs>
              <w:tab w:val="left" w:pos="440"/>
              <w:tab w:val="right" w:leader="dot" w:pos="9016"/>
            </w:tabs>
            <w:spacing w:line="480" w:lineRule="auto"/>
            <w:rPr>
              <w:rFonts w:cs="Times New Roman"/>
              <w:noProof/>
              <w:szCs w:val="24"/>
            </w:rPr>
          </w:pPr>
          <w:hyperlink w:anchor="_Toc57521999" w:history="1">
            <w:r w:rsidRPr="006824EC">
              <w:rPr>
                <w:rStyle w:val="Hyperlink"/>
                <w:rFonts w:cs="Times New Roman"/>
                <w:noProof/>
                <w:szCs w:val="24"/>
              </w:rPr>
              <w:t>1.</w:t>
            </w:r>
            <w:r w:rsidRPr="006824EC">
              <w:rPr>
                <w:rFonts w:cs="Times New Roman"/>
                <w:noProof/>
                <w:szCs w:val="24"/>
              </w:rPr>
              <w:tab/>
            </w:r>
            <w:r w:rsidRPr="006824EC">
              <w:rPr>
                <w:rStyle w:val="Hyperlink"/>
                <w:rFonts w:cs="Times New Roman"/>
                <w:noProof/>
                <w:szCs w:val="24"/>
              </w:rPr>
              <w:t>Major sources of pollutants in southern Ontario and their formation</w:t>
            </w:r>
            <w:r w:rsidRPr="006824EC">
              <w:rPr>
                <w:rFonts w:cs="Times New Roman"/>
                <w:noProof/>
                <w:webHidden/>
                <w:szCs w:val="24"/>
              </w:rPr>
              <w:tab/>
            </w:r>
            <w:r w:rsidRPr="006824EC">
              <w:rPr>
                <w:rFonts w:cs="Times New Roman"/>
                <w:noProof/>
                <w:webHidden/>
                <w:szCs w:val="24"/>
              </w:rPr>
              <w:fldChar w:fldCharType="begin"/>
            </w:r>
            <w:r w:rsidRPr="006824EC">
              <w:rPr>
                <w:rFonts w:cs="Times New Roman"/>
                <w:noProof/>
                <w:webHidden/>
                <w:szCs w:val="24"/>
              </w:rPr>
              <w:instrText xml:space="preserve"> PAGEREF _Toc57521999 \h </w:instrText>
            </w:r>
            <w:r w:rsidRPr="006824EC">
              <w:rPr>
                <w:rFonts w:cs="Times New Roman"/>
                <w:noProof/>
                <w:webHidden/>
                <w:szCs w:val="24"/>
              </w:rPr>
            </w:r>
            <w:r w:rsidRPr="006824EC">
              <w:rPr>
                <w:rFonts w:cs="Times New Roman"/>
                <w:noProof/>
                <w:webHidden/>
                <w:szCs w:val="24"/>
              </w:rPr>
              <w:fldChar w:fldCharType="separate"/>
            </w:r>
            <w:r w:rsidR="00E36244">
              <w:rPr>
                <w:rFonts w:cs="Times New Roman"/>
                <w:noProof/>
                <w:webHidden/>
                <w:szCs w:val="24"/>
              </w:rPr>
              <w:t>4</w:t>
            </w:r>
            <w:r w:rsidRPr="006824EC">
              <w:rPr>
                <w:rFonts w:cs="Times New Roman"/>
                <w:noProof/>
                <w:webHidden/>
                <w:szCs w:val="24"/>
              </w:rPr>
              <w:fldChar w:fldCharType="end"/>
            </w:r>
          </w:hyperlink>
        </w:p>
        <w:p w14:paraId="6DA856A4" w14:textId="07717A40" w:rsidR="006824EC" w:rsidRPr="006824EC" w:rsidRDefault="006824EC" w:rsidP="006824EC">
          <w:pPr>
            <w:pStyle w:val="TOC1"/>
            <w:tabs>
              <w:tab w:val="left" w:pos="440"/>
              <w:tab w:val="right" w:leader="dot" w:pos="9016"/>
            </w:tabs>
            <w:spacing w:line="480" w:lineRule="auto"/>
            <w:rPr>
              <w:rFonts w:cs="Times New Roman"/>
              <w:noProof/>
              <w:szCs w:val="24"/>
            </w:rPr>
          </w:pPr>
          <w:hyperlink w:anchor="_Toc57522000" w:history="1">
            <w:r w:rsidRPr="006824EC">
              <w:rPr>
                <w:rStyle w:val="Hyperlink"/>
                <w:rFonts w:cs="Times New Roman"/>
                <w:noProof/>
                <w:szCs w:val="24"/>
              </w:rPr>
              <w:t>2.</w:t>
            </w:r>
            <w:r w:rsidRPr="006824EC">
              <w:rPr>
                <w:rFonts w:cs="Times New Roman"/>
                <w:noProof/>
                <w:szCs w:val="24"/>
              </w:rPr>
              <w:tab/>
            </w:r>
            <w:r w:rsidRPr="006824EC">
              <w:rPr>
                <w:rStyle w:val="Hyperlink"/>
                <w:rFonts w:cs="Times New Roman"/>
                <w:noProof/>
                <w:szCs w:val="24"/>
              </w:rPr>
              <w:t>Long-term trends in average annual concentrations of pollutants in Windsor and Toronto, Comparison with Ontario guidelines for protection of human health</w:t>
            </w:r>
            <w:r w:rsidRPr="006824EC">
              <w:rPr>
                <w:rFonts w:cs="Times New Roman"/>
                <w:noProof/>
                <w:webHidden/>
                <w:szCs w:val="24"/>
              </w:rPr>
              <w:tab/>
            </w:r>
            <w:r w:rsidRPr="006824EC">
              <w:rPr>
                <w:rFonts w:cs="Times New Roman"/>
                <w:noProof/>
                <w:webHidden/>
                <w:szCs w:val="24"/>
              </w:rPr>
              <w:fldChar w:fldCharType="begin"/>
            </w:r>
            <w:r w:rsidRPr="006824EC">
              <w:rPr>
                <w:rFonts w:cs="Times New Roman"/>
                <w:noProof/>
                <w:webHidden/>
                <w:szCs w:val="24"/>
              </w:rPr>
              <w:instrText xml:space="preserve"> PAGEREF _Toc57522000 \h </w:instrText>
            </w:r>
            <w:r w:rsidRPr="006824EC">
              <w:rPr>
                <w:rFonts w:cs="Times New Roman"/>
                <w:noProof/>
                <w:webHidden/>
                <w:szCs w:val="24"/>
              </w:rPr>
            </w:r>
            <w:r w:rsidRPr="006824EC">
              <w:rPr>
                <w:rFonts w:cs="Times New Roman"/>
                <w:noProof/>
                <w:webHidden/>
                <w:szCs w:val="24"/>
              </w:rPr>
              <w:fldChar w:fldCharType="separate"/>
            </w:r>
            <w:r w:rsidR="00E36244">
              <w:rPr>
                <w:rFonts w:cs="Times New Roman"/>
                <w:noProof/>
                <w:webHidden/>
                <w:szCs w:val="24"/>
              </w:rPr>
              <w:t>6</w:t>
            </w:r>
            <w:r w:rsidRPr="006824EC">
              <w:rPr>
                <w:rFonts w:cs="Times New Roman"/>
                <w:noProof/>
                <w:webHidden/>
                <w:szCs w:val="24"/>
              </w:rPr>
              <w:fldChar w:fldCharType="end"/>
            </w:r>
          </w:hyperlink>
        </w:p>
        <w:p w14:paraId="6E10C8DD" w14:textId="67D84CB0" w:rsidR="006824EC" w:rsidRPr="006824EC" w:rsidRDefault="006824EC" w:rsidP="006824EC">
          <w:pPr>
            <w:pStyle w:val="TOC1"/>
            <w:tabs>
              <w:tab w:val="left" w:pos="440"/>
              <w:tab w:val="right" w:leader="dot" w:pos="9016"/>
            </w:tabs>
            <w:spacing w:line="480" w:lineRule="auto"/>
            <w:rPr>
              <w:rFonts w:cs="Times New Roman"/>
              <w:noProof/>
              <w:szCs w:val="24"/>
            </w:rPr>
          </w:pPr>
          <w:hyperlink w:anchor="_Toc57522001" w:history="1">
            <w:r w:rsidRPr="006824EC">
              <w:rPr>
                <w:rStyle w:val="Hyperlink"/>
                <w:rFonts w:cs="Times New Roman"/>
                <w:noProof/>
                <w:szCs w:val="24"/>
              </w:rPr>
              <w:t>3.</w:t>
            </w:r>
            <w:r w:rsidRPr="006824EC">
              <w:rPr>
                <w:rFonts w:cs="Times New Roman"/>
                <w:noProof/>
                <w:szCs w:val="24"/>
              </w:rPr>
              <w:tab/>
            </w:r>
            <w:r w:rsidRPr="006824EC">
              <w:rPr>
                <w:rStyle w:val="Hyperlink"/>
                <w:rFonts w:cs="Times New Roman"/>
                <w:noProof/>
                <w:szCs w:val="24"/>
              </w:rPr>
              <w:t>Effect of sunlight on the levels of air pollutants</w:t>
            </w:r>
            <w:r w:rsidRPr="006824EC">
              <w:rPr>
                <w:rFonts w:cs="Times New Roman"/>
                <w:noProof/>
                <w:webHidden/>
                <w:szCs w:val="24"/>
              </w:rPr>
              <w:tab/>
            </w:r>
            <w:r w:rsidRPr="006824EC">
              <w:rPr>
                <w:rFonts w:cs="Times New Roman"/>
                <w:noProof/>
                <w:webHidden/>
                <w:szCs w:val="24"/>
              </w:rPr>
              <w:fldChar w:fldCharType="begin"/>
            </w:r>
            <w:r w:rsidRPr="006824EC">
              <w:rPr>
                <w:rFonts w:cs="Times New Roman"/>
                <w:noProof/>
                <w:webHidden/>
                <w:szCs w:val="24"/>
              </w:rPr>
              <w:instrText xml:space="preserve"> PAGEREF _Toc57522001 \h </w:instrText>
            </w:r>
            <w:r w:rsidRPr="006824EC">
              <w:rPr>
                <w:rFonts w:cs="Times New Roman"/>
                <w:noProof/>
                <w:webHidden/>
                <w:szCs w:val="24"/>
              </w:rPr>
            </w:r>
            <w:r w:rsidRPr="006824EC">
              <w:rPr>
                <w:rFonts w:cs="Times New Roman"/>
                <w:noProof/>
                <w:webHidden/>
                <w:szCs w:val="24"/>
              </w:rPr>
              <w:fldChar w:fldCharType="separate"/>
            </w:r>
            <w:r w:rsidR="00E36244">
              <w:rPr>
                <w:rFonts w:cs="Times New Roman"/>
                <w:noProof/>
                <w:webHidden/>
                <w:szCs w:val="24"/>
              </w:rPr>
              <w:t>8</w:t>
            </w:r>
            <w:r w:rsidRPr="006824EC">
              <w:rPr>
                <w:rFonts w:cs="Times New Roman"/>
                <w:noProof/>
                <w:webHidden/>
                <w:szCs w:val="24"/>
              </w:rPr>
              <w:fldChar w:fldCharType="end"/>
            </w:r>
          </w:hyperlink>
        </w:p>
        <w:p w14:paraId="14F6A6B9" w14:textId="392EB530" w:rsidR="006824EC" w:rsidRPr="006824EC" w:rsidRDefault="006824EC" w:rsidP="006824EC">
          <w:pPr>
            <w:pStyle w:val="TOC1"/>
            <w:tabs>
              <w:tab w:val="left" w:pos="440"/>
              <w:tab w:val="right" w:leader="dot" w:pos="9016"/>
            </w:tabs>
            <w:spacing w:line="480" w:lineRule="auto"/>
            <w:rPr>
              <w:rFonts w:cs="Times New Roman"/>
              <w:noProof/>
              <w:szCs w:val="24"/>
            </w:rPr>
          </w:pPr>
          <w:hyperlink w:anchor="_Toc57522002" w:history="1">
            <w:r w:rsidRPr="006824EC">
              <w:rPr>
                <w:rStyle w:val="Hyperlink"/>
                <w:rFonts w:cs="Times New Roman"/>
                <w:noProof/>
                <w:szCs w:val="24"/>
              </w:rPr>
              <w:t>4.</w:t>
            </w:r>
            <w:r w:rsidRPr="006824EC">
              <w:rPr>
                <w:rFonts w:cs="Times New Roman"/>
                <w:noProof/>
                <w:szCs w:val="24"/>
              </w:rPr>
              <w:tab/>
            </w:r>
            <w:r w:rsidRPr="006824EC">
              <w:rPr>
                <w:rStyle w:val="Hyperlink"/>
                <w:rFonts w:cs="Times New Roman"/>
                <w:noProof/>
                <w:szCs w:val="24"/>
              </w:rPr>
              <w:t>Air quality standards set for 1 hour, 8 hours, 24 hours and 1 year exposures</w:t>
            </w:r>
            <w:r w:rsidRPr="006824EC">
              <w:rPr>
                <w:rFonts w:cs="Times New Roman"/>
                <w:noProof/>
                <w:webHidden/>
                <w:szCs w:val="24"/>
              </w:rPr>
              <w:tab/>
            </w:r>
            <w:r w:rsidRPr="006824EC">
              <w:rPr>
                <w:rFonts w:cs="Times New Roman"/>
                <w:noProof/>
                <w:webHidden/>
                <w:szCs w:val="24"/>
              </w:rPr>
              <w:fldChar w:fldCharType="begin"/>
            </w:r>
            <w:r w:rsidRPr="006824EC">
              <w:rPr>
                <w:rFonts w:cs="Times New Roman"/>
                <w:noProof/>
                <w:webHidden/>
                <w:szCs w:val="24"/>
              </w:rPr>
              <w:instrText xml:space="preserve"> PAGEREF _Toc57522002 \h </w:instrText>
            </w:r>
            <w:r w:rsidRPr="006824EC">
              <w:rPr>
                <w:rFonts w:cs="Times New Roman"/>
                <w:noProof/>
                <w:webHidden/>
                <w:szCs w:val="24"/>
              </w:rPr>
            </w:r>
            <w:r w:rsidRPr="006824EC">
              <w:rPr>
                <w:rFonts w:cs="Times New Roman"/>
                <w:noProof/>
                <w:webHidden/>
                <w:szCs w:val="24"/>
              </w:rPr>
              <w:fldChar w:fldCharType="separate"/>
            </w:r>
            <w:r w:rsidR="00E36244">
              <w:rPr>
                <w:rFonts w:cs="Times New Roman"/>
                <w:noProof/>
                <w:webHidden/>
                <w:szCs w:val="24"/>
              </w:rPr>
              <w:t>9</w:t>
            </w:r>
            <w:r w:rsidRPr="006824EC">
              <w:rPr>
                <w:rFonts w:cs="Times New Roman"/>
                <w:noProof/>
                <w:webHidden/>
                <w:szCs w:val="24"/>
              </w:rPr>
              <w:fldChar w:fldCharType="end"/>
            </w:r>
          </w:hyperlink>
        </w:p>
        <w:p w14:paraId="5566B1FD" w14:textId="56A21939" w:rsidR="006824EC" w:rsidRPr="006824EC" w:rsidRDefault="006824EC" w:rsidP="006824EC">
          <w:pPr>
            <w:pStyle w:val="TOC1"/>
            <w:tabs>
              <w:tab w:val="left" w:pos="440"/>
              <w:tab w:val="right" w:leader="dot" w:pos="9016"/>
            </w:tabs>
            <w:spacing w:line="480" w:lineRule="auto"/>
            <w:rPr>
              <w:rFonts w:cs="Times New Roman"/>
              <w:noProof/>
              <w:szCs w:val="24"/>
            </w:rPr>
          </w:pPr>
          <w:hyperlink w:anchor="_Toc57522003" w:history="1">
            <w:r w:rsidRPr="006824EC">
              <w:rPr>
                <w:rStyle w:val="Hyperlink"/>
                <w:rFonts w:cs="Times New Roman"/>
                <w:noProof/>
                <w:szCs w:val="24"/>
              </w:rPr>
              <w:t>5.</w:t>
            </w:r>
            <w:r w:rsidRPr="006824EC">
              <w:rPr>
                <w:rFonts w:cs="Times New Roman"/>
                <w:noProof/>
                <w:szCs w:val="24"/>
              </w:rPr>
              <w:tab/>
            </w:r>
            <w:r w:rsidRPr="006824EC">
              <w:rPr>
                <w:rStyle w:val="Hyperlink"/>
                <w:rFonts w:cs="Times New Roman"/>
                <w:noProof/>
                <w:szCs w:val="24"/>
              </w:rPr>
              <w:t>Types of air pollutants emitted by a coal fired power plant without adequate pollution controls, their dispersal and their impacts on ecosystems</w:t>
            </w:r>
            <w:r w:rsidRPr="006824EC">
              <w:rPr>
                <w:rFonts w:cs="Times New Roman"/>
                <w:noProof/>
                <w:webHidden/>
                <w:szCs w:val="24"/>
              </w:rPr>
              <w:tab/>
            </w:r>
            <w:r w:rsidRPr="006824EC">
              <w:rPr>
                <w:rFonts w:cs="Times New Roman"/>
                <w:noProof/>
                <w:webHidden/>
                <w:szCs w:val="24"/>
              </w:rPr>
              <w:fldChar w:fldCharType="begin"/>
            </w:r>
            <w:r w:rsidRPr="006824EC">
              <w:rPr>
                <w:rFonts w:cs="Times New Roman"/>
                <w:noProof/>
                <w:webHidden/>
                <w:szCs w:val="24"/>
              </w:rPr>
              <w:instrText xml:space="preserve"> PAGEREF _Toc57522003 \h </w:instrText>
            </w:r>
            <w:r w:rsidRPr="006824EC">
              <w:rPr>
                <w:rFonts w:cs="Times New Roman"/>
                <w:noProof/>
                <w:webHidden/>
                <w:szCs w:val="24"/>
              </w:rPr>
            </w:r>
            <w:r w:rsidRPr="006824EC">
              <w:rPr>
                <w:rFonts w:cs="Times New Roman"/>
                <w:noProof/>
                <w:webHidden/>
                <w:szCs w:val="24"/>
              </w:rPr>
              <w:fldChar w:fldCharType="separate"/>
            </w:r>
            <w:r w:rsidR="00E36244">
              <w:rPr>
                <w:rFonts w:cs="Times New Roman"/>
                <w:noProof/>
                <w:webHidden/>
                <w:szCs w:val="24"/>
              </w:rPr>
              <w:t>11</w:t>
            </w:r>
            <w:r w:rsidRPr="006824EC">
              <w:rPr>
                <w:rFonts w:cs="Times New Roman"/>
                <w:noProof/>
                <w:webHidden/>
                <w:szCs w:val="24"/>
              </w:rPr>
              <w:fldChar w:fldCharType="end"/>
            </w:r>
          </w:hyperlink>
        </w:p>
        <w:p w14:paraId="5FC72C3F" w14:textId="79F7E4D1" w:rsidR="006824EC" w:rsidRPr="006824EC" w:rsidRDefault="006824EC" w:rsidP="006824EC">
          <w:pPr>
            <w:pStyle w:val="TOC1"/>
            <w:tabs>
              <w:tab w:val="left" w:pos="440"/>
              <w:tab w:val="right" w:leader="dot" w:pos="9016"/>
            </w:tabs>
            <w:spacing w:line="480" w:lineRule="auto"/>
            <w:rPr>
              <w:rFonts w:cs="Times New Roman"/>
              <w:noProof/>
              <w:szCs w:val="24"/>
            </w:rPr>
          </w:pPr>
          <w:hyperlink w:anchor="_Toc57522004" w:history="1">
            <w:r w:rsidRPr="006824EC">
              <w:rPr>
                <w:rStyle w:val="Hyperlink"/>
                <w:rFonts w:cs="Times New Roman"/>
                <w:noProof/>
                <w:szCs w:val="24"/>
              </w:rPr>
              <w:t>6.</w:t>
            </w:r>
            <w:r w:rsidRPr="006824EC">
              <w:rPr>
                <w:rFonts w:cs="Times New Roman"/>
                <w:noProof/>
                <w:szCs w:val="24"/>
              </w:rPr>
              <w:tab/>
            </w:r>
            <w:r w:rsidRPr="006824EC">
              <w:rPr>
                <w:rStyle w:val="Hyperlink"/>
                <w:rFonts w:cs="Times New Roman"/>
                <w:noProof/>
                <w:szCs w:val="24"/>
              </w:rPr>
              <w:t>Major sources of air pollution in Dhaka, Bangladesh, comparison with Toronto</w:t>
            </w:r>
            <w:r w:rsidRPr="006824EC">
              <w:rPr>
                <w:rFonts w:cs="Times New Roman"/>
                <w:noProof/>
                <w:webHidden/>
                <w:szCs w:val="24"/>
              </w:rPr>
              <w:tab/>
            </w:r>
            <w:r w:rsidRPr="006824EC">
              <w:rPr>
                <w:rFonts w:cs="Times New Roman"/>
                <w:noProof/>
                <w:webHidden/>
                <w:szCs w:val="24"/>
              </w:rPr>
              <w:fldChar w:fldCharType="begin"/>
            </w:r>
            <w:r w:rsidRPr="006824EC">
              <w:rPr>
                <w:rFonts w:cs="Times New Roman"/>
                <w:noProof/>
                <w:webHidden/>
                <w:szCs w:val="24"/>
              </w:rPr>
              <w:instrText xml:space="preserve"> PAGEREF _Toc57522004 \h </w:instrText>
            </w:r>
            <w:r w:rsidRPr="006824EC">
              <w:rPr>
                <w:rFonts w:cs="Times New Roman"/>
                <w:noProof/>
                <w:webHidden/>
                <w:szCs w:val="24"/>
              </w:rPr>
            </w:r>
            <w:r w:rsidRPr="006824EC">
              <w:rPr>
                <w:rFonts w:cs="Times New Roman"/>
                <w:noProof/>
                <w:webHidden/>
                <w:szCs w:val="24"/>
              </w:rPr>
              <w:fldChar w:fldCharType="separate"/>
            </w:r>
            <w:r w:rsidR="00E36244">
              <w:rPr>
                <w:rFonts w:cs="Times New Roman"/>
                <w:noProof/>
                <w:webHidden/>
                <w:szCs w:val="24"/>
              </w:rPr>
              <w:t>12</w:t>
            </w:r>
            <w:r w:rsidRPr="006824EC">
              <w:rPr>
                <w:rFonts w:cs="Times New Roman"/>
                <w:noProof/>
                <w:webHidden/>
                <w:szCs w:val="24"/>
              </w:rPr>
              <w:fldChar w:fldCharType="end"/>
            </w:r>
          </w:hyperlink>
        </w:p>
        <w:p w14:paraId="76F957F5" w14:textId="721C886C" w:rsidR="006824EC" w:rsidRPr="006824EC" w:rsidRDefault="006824EC" w:rsidP="006824EC">
          <w:pPr>
            <w:pStyle w:val="TOC1"/>
            <w:tabs>
              <w:tab w:val="left" w:pos="440"/>
              <w:tab w:val="right" w:leader="dot" w:pos="9016"/>
            </w:tabs>
            <w:spacing w:line="480" w:lineRule="auto"/>
            <w:rPr>
              <w:rFonts w:cs="Times New Roman"/>
              <w:noProof/>
              <w:szCs w:val="24"/>
            </w:rPr>
          </w:pPr>
          <w:hyperlink w:anchor="_Toc57522005" w:history="1">
            <w:r w:rsidRPr="006824EC">
              <w:rPr>
                <w:rStyle w:val="Hyperlink"/>
                <w:rFonts w:cs="Times New Roman"/>
                <w:noProof/>
                <w:szCs w:val="24"/>
              </w:rPr>
              <w:t>7.</w:t>
            </w:r>
            <w:r w:rsidRPr="006824EC">
              <w:rPr>
                <w:rFonts w:cs="Times New Roman"/>
                <w:noProof/>
                <w:szCs w:val="24"/>
              </w:rPr>
              <w:tab/>
            </w:r>
            <w:r w:rsidRPr="006824EC">
              <w:rPr>
                <w:rStyle w:val="Hyperlink"/>
                <w:rFonts w:cs="Times New Roman"/>
                <w:noProof/>
                <w:szCs w:val="24"/>
              </w:rPr>
              <w:t>Potential human health impacts of air pollutants</w:t>
            </w:r>
            <w:r w:rsidRPr="006824EC">
              <w:rPr>
                <w:rFonts w:cs="Times New Roman"/>
                <w:noProof/>
                <w:webHidden/>
                <w:szCs w:val="24"/>
              </w:rPr>
              <w:tab/>
            </w:r>
            <w:r w:rsidRPr="006824EC">
              <w:rPr>
                <w:rFonts w:cs="Times New Roman"/>
                <w:noProof/>
                <w:webHidden/>
                <w:szCs w:val="24"/>
              </w:rPr>
              <w:fldChar w:fldCharType="begin"/>
            </w:r>
            <w:r w:rsidRPr="006824EC">
              <w:rPr>
                <w:rFonts w:cs="Times New Roman"/>
                <w:noProof/>
                <w:webHidden/>
                <w:szCs w:val="24"/>
              </w:rPr>
              <w:instrText xml:space="preserve"> PAGEREF _Toc57522005 \h </w:instrText>
            </w:r>
            <w:r w:rsidRPr="006824EC">
              <w:rPr>
                <w:rFonts w:cs="Times New Roman"/>
                <w:noProof/>
                <w:webHidden/>
                <w:szCs w:val="24"/>
              </w:rPr>
            </w:r>
            <w:r w:rsidRPr="006824EC">
              <w:rPr>
                <w:rFonts w:cs="Times New Roman"/>
                <w:noProof/>
                <w:webHidden/>
                <w:szCs w:val="24"/>
              </w:rPr>
              <w:fldChar w:fldCharType="separate"/>
            </w:r>
            <w:r w:rsidR="00E36244">
              <w:rPr>
                <w:rFonts w:cs="Times New Roman"/>
                <w:noProof/>
                <w:webHidden/>
                <w:szCs w:val="24"/>
              </w:rPr>
              <w:t>13</w:t>
            </w:r>
            <w:r w:rsidRPr="006824EC">
              <w:rPr>
                <w:rFonts w:cs="Times New Roman"/>
                <w:noProof/>
                <w:webHidden/>
                <w:szCs w:val="24"/>
              </w:rPr>
              <w:fldChar w:fldCharType="end"/>
            </w:r>
          </w:hyperlink>
        </w:p>
        <w:p w14:paraId="2934BDE2" w14:textId="79515C66" w:rsidR="006824EC" w:rsidRDefault="006824EC" w:rsidP="006824EC">
          <w:pPr>
            <w:spacing w:line="480" w:lineRule="auto"/>
          </w:pPr>
          <w:r w:rsidRPr="006824EC">
            <w:rPr>
              <w:rFonts w:cs="Times New Roman"/>
              <w:b/>
              <w:bCs/>
              <w:noProof/>
              <w:szCs w:val="24"/>
            </w:rPr>
            <w:fldChar w:fldCharType="end"/>
          </w:r>
        </w:p>
      </w:sdtContent>
    </w:sdt>
    <w:p w14:paraId="02463EF7" w14:textId="77777777" w:rsidR="006824EC" w:rsidRDefault="006824EC" w:rsidP="00E36244">
      <w:pPr>
        <w:pStyle w:val="Heading1"/>
        <w:numPr>
          <w:ilvl w:val="0"/>
          <w:numId w:val="0"/>
        </w:numPr>
        <w:ind w:left="360"/>
      </w:pPr>
    </w:p>
    <w:p w14:paraId="073EAEC4" w14:textId="77777777" w:rsidR="006824EC" w:rsidRDefault="006824EC" w:rsidP="00711065">
      <w:pPr>
        <w:spacing w:line="480" w:lineRule="auto"/>
        <w:ind w:firstLine="720"/>
      </w:pPr>
    </w:p>
    <w:p w14:paraId="7FB1396C" w14:textId="77777777" w:rsidR="006824EC" w:rsidRDefault="006824EC" w:rsidP="00711065">
      <w:pPr>
        <w:spacing w:line="480" w:lineRule="auto"/>
        <w:ind w:firstLine="720"/>
      </w:pPr>
    </w:p>
    <w:p w14:paraId="6C453354" w14:textId="77777777" w:rsidR="006824EC" w:rsidRDefault="006824EC" w:rsidP="00711065">
      <w:pPr>
        <w:spacing w:line="480" w:lineRule="auto"/>
        <w:ind w:firstLine="720"/>
      </w:pPr>
    </w:p>
    <w:p w14:paraId="630AAC50" w14:textId="77777777" w:rsidR="006824EC" w:rsidRDefault="006824EC" w:rsidP="00711065">
      <w:pPr>
        <w:spacing w:line="480" w:lineRule="auto"/>
        <w:ind w:firstLine="720"/>
      </w:pPr>
    </w:p>
    <w:p w14:paraId="1FFF23EC" w14:textId="77777777" w:rsidR="006824EC" w:rsidRDefault="006824EC" w:rsidP="00711065">
      <w:pPr>
        <w:spacing w:line="480" w:lineRule="auto"/>
        <w:ind w:firstLine="720"/>
      </w:pPr>
    </w:p>
    <w:p w14:paraId="39935643" w14:textId="77777777" w:rsidR="006824EC" w:rsidRDefault="006824EC" w:rsidP="00711065">
      <w:pPr>
        <w:spacing w:line="480" w:lineRule="auto"/>
        <w:ind w:firstLine="720"/>
      </w:pPr>
    </w:p>
    <w:p w14:paraId="061D18AD" w14:textId="77777777" w:rsidR="00E36244" w:rsidRDefault="00E36244" w:rsidP="00E36244">
      <w:pPr>
        <w:spacing w:line="480" w:lineRule="auto"/>
      </w:pPr>
    </w:p>
    <w:p w14:paraId="5CCA99DF" w14:textId="77777777" w:rsidR="006824EC" w:rsidRDefault="006824EC" w:rsidP="00E36244">
      <w:pPr>
        <w:pStyle w:val="Heading1"/>
        <w:numPr>
          <w:ilvl w:val="0"/>
          <w:numId w:val="0"/>
        </w:numPr>
        <w:ind w:left="360"/>
      </w:pPr>
      <w:bookmarkStart w:id="1" w:name="_Toc57521998"/>
      <w:r w:rsidRPr="00DE58AD">
        <w:lastRenderedPageBreak/>
        <w:t>Introduction</w:t>
      </w:r>
      <w:bookmarkEnd w:id="1"/>
      <w:r w:rsidRPr="00DE58AD">
        <w:t xml:space="preserve"> </w:t>
      </w:r>
    </w:p>
    <w:p w14:paraId="554E974B" w14:textId="323A55CD" w:rsidR="00F56055" w:rsidRPr="00DE58AD" w:rsidRDefault="00F56055" w:rsidP="00711065">
      <w:pPr>
        <w:spacing w:line="480" w:lineRule="auto"/>
        <w:ind w:firstLine="720"/>
      </w:pPr>
      <w:r w:rsidRPr="00DE58AD">
        <w:t>Air pollution is one of the major environmental issues in the recent years all over the globe, with so many contaminants that pollute the air (Li et al., 2017). It is essential but quite difficult to maintain the quality of air, thus, United Nations declared it as one of the sustainability targets that is necessary to maintain for human survival. For instance, the SDG 3.9 SDG target states the reduction of impacts to health through the air pollutants that could be hazardous and the reduction of cities causing an impact on the human health as declared by SDG 11.6 (</w:t>
      </w:r>
      <w:proofErr w:type="spellStart"/>
      <w:r w:rsidRPr="00DE58AD">
        <w:t>Rafaj</w:t>
      </w:r>
      <w:proofErr w:type="spellEnd"/>
      <w:r w:rsidRPr="00DE58AD">
        <w:t xml:space="preserve"> et al., 2018). The air pollution is creating space for the emergence of new diseases, due to which people are suffering from serious illness that are even fatal in extreme cases (</w:t>
      </w:r>
      <w:proofErr w:type="spellStart"/>
      <w:r w:rsidRPr="00DE58AD">
        <w:t>Kampa</w:t>
      </w:r>
      <w:proofErr w:type="spellEnd"/>
      <w:r w:rsidRPr="00DE58AD">
        <w:t xml:space="preserve"> &amp; </w:t>
      </w:r>
      <w:proofErr w:type="spellStart"/>
      <w:r w:rsidRPr="00DE58AD">
        <w:t>Castanas</w:t>
      </w:r>
      <w:proofErr w:type="spellEnd"/>
      <w:r w:rsidRPr="00DE58AD">
        <w:t>, 2008)</w:t>
      </w:r>
    </w:p>
    <w:p w14:paraId="430EF947" w14:textId="37E90CBB" w:rsidR="00F56055" w:rsidRPr="00DE58AD" w:rsidRDefault="00F56055" w:rsidP="00711065">
      <w:pPr>
        <w:spacing w:line="480" w:lineRule="auto"/>
        <w:ind w:firstLine="720"/>
      </w:pPr>
      <w:r w:rsidRPr="00DE58AD">
        <w:t xml:space="preserve">In Canada, </w:t>
      </w:r>
      <w:r w:rsidR="00A97DEE" w:rsidRPr="00DE58AD">
        <w:t>Sulfur</w:t>
      </w:r>
      <w:r w:rsidRPr="00DE58AD">
        <w:t xml:space="preserve"> dioxide (SO2), fine particulate matter (PM2.5) and ozone (O3) are among the three major outdoor air pollutants causing harm to environment and human health (Burnett et al., 2004). However, throughout the world, organization and concerned authorities are making efforts for improving the quality of air, such as, Canada. Even Ontario has been able to improve the condition of air over the last decade through banning certain activities that were damaging the air and using coal as a source of generating energy. Moreover, a ban was imposed on using the caps that contained Nitrogen oxide and </w:t>
      </w:r>
      <w:r w:rsidR="00A97DEE" w:rsidRPr="00DE58AD">
        <w:t>Sulfur</w:t>
      </w:r>
      <w:r w:rsidRPr="00DE58AD">
        <w:t xml:space="preserve"> dioxide. New policies and regulations were set in order to maintain the quality of air in the region. The level of emission from various sources was controlled so that the activities may continue but causing less harm to the environment. (Air Quality Ontario, 2010). Thereby, due to the essential need of reducing the air pollutants and the potential harms to human health, it is important to control the air pollution and its harmful effects through effective mitigation measures. This study will discuss in detail different questions that will help comprehend the concept of air pollution in detail specifically focusing on Ontario, Canada. </w:t>
      </w:r>
    </w:p>
    <w:p w14:paraId="34C978D5" w14:textId="7EBC116B" w:rsidR="00B5197B" w:rsidRPr="00DE58AD" w:rsidRDefault="00B5197B" w:rsidP="00E36244">
      <w:pPr>
        <w:pStyle w:val="Heading1"/>
      </w:pPr>
      <w:bookmarkStart w:id="2" w:name="_Toc57341044"/>
      <w:bookmarkStart w:id="3" w:name="_Toc57521999"/>
      <w:r w:rsidRPr="00DE58AD">
        <w:lastRenderedPageBreak/>
        <w:t>Major sources of pollutants in southern Ontario and their formation</w:t>
      </w:r>
      <w:bookmarkEnd w:id="2"/>
      <w:bookmarkEnd w:id="3"/>
    </w:p>
    <w:p w14:paraId="302D4F5C" w14:textId="6EA3F2C0" w:rsidR="00B5197B" w:rsidRPr="00DE58AD" w:rsidRDefault="00B5197B" w:rsidP="00711065">
      <w:pPr>
        <w:spacing w:line="480" w:lineRule="auto"/>
        <w:ind w:firstLine="720"/>
      </w:pPr>
      <w:r w:rsidRPr="00DE58AD">
        <w:t xml:space="preserve">In southern Ontario, some contaminants such as, fine particulate matter, </w:t>
      </w:r>
      <w:r w:rsidRPr="00DE58AD">
        <w:rPr>
          <w:rFonts w:cs="Times New Roman"/>
          <w:szCs w:val="24"/>
        </w:rPr>
        <w:t>O</w:t>
      </w:r>
      <w:r w:rsidRPr="00DE58AD">
        <w:rPr>
          <w:rFonts w:cs="Times New Roman"/>
          <w:szCs w:val="24"/>
          <w:vertAlign w:val="subscript"/>
        </w:rPr>
        <w:t>3</w:t>
      </w:r>
      <w:r w:rsidRPr="00DE58AD">
        <w:rPr>
          <w:rFonts w:cs="Times New Roman"/>
          <w:szCs w:val="24"/>
        </w:rPr>
        <w:t>, NO</w:t>
      </w:r>
      <w:r w:rsidRPr="00DE58AD">
        <w:rPr>
          <w:rFonts w:cs="Times New Roman"/>
          <w:szCs w:val="24"/>
          <w:vertAlign w:val="subscript"/>
        </w:rPr>
        <w:t>3</w:t>
      </w:r>
      <w:r w:rsidRPr="00DE58AD">
        <w:rPr>
          <w:rFonts w:cs="Times New Roman"/>
          <w:szCs w:val="24"/>
        </w:rPr>
        <w:t>, SO</w:t>
      </w:r>
      <w:r w:rsidRPr="00DE58AD">
        <w:rPr>
          <w:rFonts w:cs="Times New Roman"/>
          <w:szCs w:val="24"/>
          <w:vertAlign w:val="subscript"/>
        </w:rPr>
        <w:t xml:space="preserve">2 </w:t>
      </w:r>
      <w:r w:rsidRPr="00DE58AD">
        <w:t xml:space="preserve">are among the major air pollutants reported from Windsor and Peterborough station that are damaging the atmosphere and causing climate change (Bates &amp; </w:t>
      </w:r>
      <w:proofErr w:type="spellStart"/>
      <w:r w:rsidRPr="00DE58AD">
        <w:t>Sizto</w:t>
      </w:r>
      <w:proofErr w:type="spellEnd"/>
      <w:r w:rsidRPr="00DE58AD">
        <w:t xml:space="preserve">, 1987). These air pollutants including carbon monoxide, nitrogen dioxide, </w:t>
      </w:r>
      <w:r w:rsidR="00A97DEE" w:rsidRPr="00DE58AD">
        <w:t>Sulfur</w:t>
      </w:r>
      <w:r w:rsidRPr="00DE58AD">
        <w:t xml:space="preserve"> dioxide, PM2.5, PM10, and ozone needs to be controlled as they are spreading as a pandemic globally and are harmful for the environment that surrounds us and for human health causing cardiovascular diseases (</w:t>
      </w:r>
      <w:proofErr w:type="spellStart"/>
      <w:r w:rsidRPr="00DE58AD">
        <w:t>Akbarzadeh</w:t>
      </w:r>
      <w:proofErr w:type="spellEnd"/>
      <w:r w:rsidRPr="00DE58AD">
        <w:t xml:space="preserve"> et al., 2018). </w:t>
      </w:r>
    </w:p>
    <w:p w14:paraId="554A36F1" w14:textId="2F7F003C" w:rsidR="00B5197B" w:rsidRPr="00DE58AD" w:rsidRDefault="00B5197B" w:rsidP="00711065">
      <w:pPr>
        <w:spacing w:line="480" w:lineRule="auto"/>
        <w:ind w:firstLine="720"/>
      </w:pPr>
      <w:r w:rsidRPr="00DE58AD">
        <w:t xml:space="preserve">A study conducted in Hamilton, Canada by Wallace et al., (2009) reveals that the air pollution is increasing due to flourishing population, industry and increased traffic. This study examined the sources of these pollutants, use mobile monitoring and states that Nitrogen oxides and </w:t>
      </w:r>
      <w:r w:rsidR="00A97DEE" w:rsidRPr="00DE58AD">
        <w:t>Sulfur</w:t>
      </w:r>
      <w:r w:rsidRPr="00DE58AD">
        <w:t xml:space="preserve"> oxides emerge from the industries and traffic in a very high concentration. The Concentration of NOx exceeds 600ppb whereas the concentration of SO2 levels exceed 249ppb near industries. These concentrations are considered lethal as they are exceeding the hourly maxima which are recorded by fixed monitors. Environment Canada has estimated that in 2005, the industries were responsible for 82% </w:t>
      </w:r>
      <w:r w:rsidR="00A97DEE" w:rsidRPr="00DE58AD">
        <w:t>Sulfur</w:t>
      </w:r>
      <w:r w:rsidRPr="00DE58AD">
        <w:t xml:space="preserve"> emissions and the nitrogen was emitted around 64% from the traffic source only. </w:t>
      </w:r>
    </w:p>
    <w:p w14:paraId="1B2A9013" w14:textId="5FF6DB9B" w:rsidR="00B5197B" w:rsidRPr="00DE58AD" w:rsidRDefault="00B5197B" w:rsidP="00711065">
      <w:pPr>
        <w:spacing w:line="480" w:lineRule="auto"/>
        <w:ind w:firstLine="720"/>
      </w:pPr>
      <w:r w:rsidRPr="00DE58AD">
        <w:t xml:space="preserve">Moreover, these gases are formed from different sources such as the Particulate matters (PM) that consist of solid and liquid particles are those which emits from the smokestack of electrical power plants in Canada and contains liquid as well as solid matters. Whereas, the secondary PM formed by multiple physical and chemical reactions and includes the gases such as </w:t>
      </w:r>
      <w:r w:rsidR="00A97DEE" w:rsidRPr="00DE58AD">
        <w:t>Sulfur</w:t>
      </w:r>
      <w:r w:rsidRPr="00DE58AD">
        <w:t xml:space="preserve"> and nitrogen oxides, sulphates nitrates and particles of ammonium. This particulate matter can be primary and secondary based on their source of emission and compounds present in them (Canada.ca, 2013).</w:t>
      </w:r>
    </w:p>
    <w:p w14:paraId="45565773" w14:textId="101A1059" w:rsidR="004A459B" w:rsidRPr="00DE58AD" w:rsidRDefault="004A459B" w:rsidP="00711065">
      <w:pPr>
        <w:spacing w:line="480" w:lineRule="auto"/>
        <w:ind w:firstLine="720"/>
      </w:pPr>
      <w:r w:rsidRPr="00DE58AD">
        <w:rPr>
          <w:noProof/>
        </w:rPr>
        <w:lastRenderedPageBreak/>
        <w:drawing>
          <wp:inline distT="0" distB="0" distL="0" distR="0" wp14:anchorId="392D1301" wp14:editId="5BAD1A5A">
            <wp:extent cx="5269230" cy="3062176"/>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638" b="10829"/>
                    <a:stretch/>
                  </pic:blipFill>
                  <pic:spPr bwMode="auto">
                    <a:xfrm>
                      <a:off x="0" y="0"/>
                      <a:ext cx="5305552" cy="3083284"/>
                    </a:xfrm>
                    <a:prstGeom prst="rect">
                      <a:avLst/>
                    </a:prstGeom>
                    <a:ln>
                      <a:noFill/>
                    </a:ln>
                    <a:extLst>
                      <a:ext uri="{53640926-AAD7-44D8-BBD7-CCE9431645EC}">
                        <a14:shadowObscured xmlns:a14="http://schemas.microsoft.com/office/drawing/2010/main"/>
                      </a:ext>
                    </a:extLst>
                  </pic:spPr>
                </pic:pic>
              </a:graphicData>
            </a:graphic>
          </wp:inline>
        </w:drawing>
      </w:r>
    </w:p>
    <w:p w14:paraId="52F1D323" w14:textId="6D111F87" w:rsidR="004A459B" w:rsidRPr="00DE58AD" w:rsidRDefault="004A459B" w:rsidP="00711065">
      <w:pPr>
        <w:spacing w:line="480" w:lineRule="auto"/>
        <w:ind w:firstLine="720"/>
        <w:jc w:val="center"/>
      </w:pPr>
      <w:r w:rsidRPr="00DE58AD">
        <w:t>Figure 1. Source of particulate matter emissions in Canada (Environment and Climate Change Canada, 2018)</w:t>
      </w:r>
    </w:p>
    <w:p w14:paraId="4AE5D82F" w14:textId="62F858E8" w:rsidR="00B5197B" w:rsidRPr="00DE58AD" w:rsidRDefault="00B5197B" w:rsidP="00711065">
      <w:pPr>
        <w:spacing w:line="480" w:lineRule="auto"/>
        <w:ind w:firstLine="720"/>
      </w:pPr>
      <w:r w:rsidRPr="00DE58AD">
        <w:t xml:space="preserve">The ground level ozone is harmful for living beings. It is considered an irritating gas that is </w:t>
      </w:r>
      <w:r w:rsidR="004A459B" w:rsidRPr="00DE58AD">
        <w:t>colourless</w:t>
      </w:r>
      <w:r w:rsidRPr="00DE58AD">
        <w:t xml:space="preserve"> and formed just above the earth’s surface (Liu et al., 2018). The ground level ozone is highly prevalent in Canada especially during summers due to heat and vegetation. Moreover, the industrialized regions and the clear sky anticyclonic conditions are the common emitter of ozone in Canada (Ramos et al., 2018). Ozone is the secondary pollutant as it is formed by the chemical reactions of already present nitrogen gases and volatile organic compounds in the air. These pollutants when reacts with sunlight forms ozone through chemical reactions. These </w:t>
      </w:r>
      <w:proofErr w:type="spellStart"/>
      <w:r w:rsidRPr="00DE58AD">
        <w:t>Nox</w:t>
      </w:r>
      <w:proofErr w:type="spellEnd"/>
      <w:r w:rsidRPr="00DE58AD">
        <w:t xml:space="preserve"> and VOCs are formed by the anthropogenic activities such as the burning of fossil fuels including coal gasoline and the oil which is burnt in the industries and power plants of Canada. Some of it also emerges from the natural sources such as the coniferous forest found in abundance in Canada (Canada.ca, 2016). </w:t>
      </w:r>
    </w:p>
    <w:p w14:paraId="6EA34E26" w14:textId="447339AD" w:rsidR="00B5197B" w:rsidRPr="00DE58AD" w:rsidRDefault="00A97DEE" w:rsidP="00711065">
      <w:pPr>
        <w:spacing w:line="480" w:lineRule="auto"/>
        <w:ind w:firstLine="720"/>
      </w:pPr>
      <w:r w:rsidRPr="00DE58AD">
        <w:t>Sulfur</w:t>
      </w:r>
      <w:r w:rsidR="00B5197B" w:rsidRPr="00DE58AD">
        <w:t xml:space="preserve"> Dioxide is the common pollutant in Canada due to the natural gas production with elevated emissions at immediate vicinity</w:t>
      </w:r>
      <w:r w:rsidRPr="00DE58AD">
        <w:t xml:space="preserve"> (Islam et al., 2020)</w:t>
      </w:r>
      <w:r w:rsidR="00B5197B" w:rsidRPr="00DE58AD">
        <w:t xml:space="preserve">. It is also produced from </w:t>
      </w:r>
      <w:r w:rsidR="00B5197B" w:rsidRPr="00DE58AD">
        <w:lastRenderedPageBreak/>
        <w:t xml:space="preserve">fuels containing </w:t>
      </w:r>
      <w:r w:rsidRPr="00DE58AD">
        <w:t>Sulfur</w:t>
      </w:r>
      <w:r w:rsidR="00B5197B" w:rsidRPr="00DE58AD">
        <w:t xml:space="preserve"> and undergoes combustion in coal-burning power plants. Regions in Canada that are highly populated produce this gas and are subjected to the harms it provides. An overwhelming amount of the </w:t>
      </w:r>
      <w:r w:rsidRPr="00DE58AD">
        <w:t>Sulfur</w:t>
      </w:r>
      <w:r w:rsidR="00B5197B" w:rsidRPr="00DE58AD">
        <w:t xml:space="preserve"> dioxide in air is manmade. SO2 is emitted in the atmosphere when humans burn fuels containing </w:t>
      </w:r>
      <w:r w:rsidRPr="00DE58AD">
        <w:t>Sulfur</w:t>
      </w:r>
      <w:r w:rsidR="00B5197B" w:rsidRPr="00DE58AD">
        <w:t xml:space="preserve">, such as coal and oil, through industrial processes. Some smaller sources include volcanic processes, metallic ore extraction processes, and vehicles that burn fuel with high </w:t>
      </w:r>
      <w:r w:rsidRPr="00DE58AD">
        <w:t>Sulfur</w:t>
      </w:r>
      <w:r w:rsidR="00B5197B" w:rsidRPr="00DE58AD">
        <w:t xml:space="preserve"> content (</w:t>
      </w:r>
      <w:proofErr w:type="spellStart"/>
      <w:r w:rsidR="00B5197B" w:rsidRPr="00DE58AD">
        <w:t>Carlsten</w:t>
      </w:r>
      <w:proofErr w:type="spellEnd"/>
      <w:r w:rsidR="00B5197B" w:rsidRPr="00DE58AD">
        <w:t xml:space="preserve"> et al., 2020). </w:t>
      </w:r>
    </w:p>
    <w:p w14:paraId="1244888F" w14:textId="5146C3F9" w:rsidR="0051434C" w:rsidRPr="00DE58AD" w:rsidRDefault="0051434C" w:rsidP="00E36244">
      <w:pPr>
        <w:pStyle w:val="Heading1"/>
      </w:pPr>
      <w:bookmarkStart w:id="4" w:name="_Toc57341045"/>
      <w:bookmarkStart w:id="5" w:name="_Toc57522000"/>
      <w:r w:rsidRPr="00DE58AD">
        <w:t>Long-term trends in average annual concentrations of pollutants in Windsor and Toronto, Comparison with Ontario</w:t>
      </w:r>
      <w:bookmarkEnd w:id="4"/>
      <w:r w:rsidRPr="00DE58AD">
        <w:t xml:space="preserve"> guidelines for protection of human health</w:t>
      </w:r>
      <w:bookmarkEnd w:id="5"/>
    </w:p>
    <w:p w14:paraId="6A3789B9" w14:textId="77777777" w:rsidR="0051434C" w:rsidRPr="00DE58AD" w:rsidRDefault="0051434C" w:rsidP="00711065">
      <w:pPr>
        <w:spacing w:line="480" w:lineRule="auto"/>
      </w:pPr>
      <w:r w:rsidRPr="00DE58AD">
        <w:t xml:space="preserve">The National Air Pollution Surveillance (NAPS) program generated the report of annual concentration of air pollutants through  Air Quality Health Index including the trends in Windsor and Toronto of the pollutants such as fine particulate matter, ozone and sulfur dioxide (Canada.ca, 2020)(Table 1). </w:t>
      </w:r>
    </w:p>
    <w:p w14:paraId="6FAB6BC0" w14:textId="77777777" w:rsidR="0051434C" w:rsidRPr="00DE58AD" w:rsidRDefault="0051434C" w:rsidP="00711065">
      <w:pPr>
        <w:spacing w:line="480" w:lineRule="auto"/>
        <w:ind w:left="360"/>
      </w:pPr>
      <w:r w:rsidRPr="00DE58AD">
        <w:t xml:space="preserve">Table 1. Trends of average annual concentration of pollutants in Windsor and Toronto, Canada </w:t>
      </w:r>
      <w:bookmarkStart w:id="6" w:name="_Hlk57504091"/>
      <w:r w:rsidRPr="00DE58AD">
        <w:t>(Environment and Climate Change Canada, 2018)</w:t>
      </w:r>
      <w:bookmarkEnd w:id="6"/>
    </w:p>
    <w:tbl>
      <w:tblPr>
        <w:tblStyle w:val="TableGridLight"/>
        <w:tblW w:w="11672" w:type="dxa"/>
        <w:jc w:val="center"/>
        <w:tblLayout w:type="fixed"/>
        <w:tblLook w:val="04A0" w:firstRow="1" w:lastRow="0" w:firstColumn="1" w:lastColumn="0" w:noHBand="0" w:noVBand="1"/>
      </w:tblPr>
      <w:tblGrid>
        <w:gridCol w:w="1000"/>
        <w:gridCol w:w="724"/>
        <w:gridCol w:w="724"/>
        <w:gridCol w:w="724"/>
        <w:gridCol w:w="724"/>
        <w:gridCol w:w="724"/>
        <w:gridCol w:w="724"/>
        <w:gridCol w:w="724"/>
        <w:gridCol w:w="724"/>
        <w:gridCol w:w="724"/>
        <w:gridCol w:w="724"/>
        <w:gridCol w:w="724"/>
        <w:gridCol w:w="724"/>
        <w:gridCol w:w="724"/>
        <w:gridCol w:w="724"/>
        <w:gridCol w:w="536"/>
      </w:tblGrid>
      <w:tr w:rsidR="00DE58AD" w:rsidRPr="00DE58AD" w14:paraId="4727781F" w14:textId="77777777" w:rsidTr="0051434C">
        <w:trPr>
          <w:trHeight w:val="817"/>
          <w:jc w:val="center"/>
        </w:trPr>
        <w:tc>
          <w:tcPr>
            <w:tcW w:w="1000" w:type="dxa"/>
          </w:tcPr>
          <w:p w14:paraId="1E519405" w14:textId="77777777" w:rsidR="0051434C" w:rsidRPr="00DE58AD" w:rsidRDefault="0051434C" w:rsidP="0026784F">
            <w:r w:rsidRPr="00DE58AD">
              <w:t>Area</w:t>
            </w:r>
          </w:p>
        </w:tc>
        <w:tc>
          <w:tcPr>
            <w:tcW w:w="724" w:type="dxa"/>
          </w:tcPr>
          <w:p w14:paraId="3AA8539E" w14:textId="77777777" w:rsidR="0051434C" w:rsidRPr="00DE58AD" w:rsidRDefault="0051434C" w:rsidP="0026784F">
            <w:r w:rsidRPr="00DE58AD">
              <w:t>2002</w:t>
            </w:r>
          </w:p>
        </w:tc>
        <w:tc>
          <w:tcPr>
            <w:tcW w:w="724" w:type="dxa"/>
          </w:tcPr>
          <w:p w14:paraId="669C9908" w14:textId="77777777" w:rsidR="0051434C" w:rsidRPr="00DE58AD" w:rsidRDefault="0051434C" w:rsidP="0026784F">
            <w:r w:rsidRPr="00DE58AD">
              <w:t>2003</w:t>
            </w:r>
          </w:p>
        </w:tc>
        <w:tc>
          <w:tcPr>
            <w:tcW w:w="724" w:type="dxa"/>
          </w:tcPr>
          <w:p w14:paraId="20A7B06F" w14:textId="77777777" w:rsidR="0051434C" w:rsidRPr="00DE58AD" w:rsidRDefault="0051434C" w:rsidP="0026784F">
            <w:r w:rsidRPr="00DE58AD">
              <w:t>2004</w:t>
            </w:r>
          </w:p>
        </w:tc>
        <w:tc>
          <w:tcPr>
            <w:tcW w:w="724" w:type="dxa"/>
          </w:tcPr>
          <w:p w14:paraId="5C2854B6" w14:textId="77777777" w:rsidR="0051434C" w:rsidRPr="00DE58AD" w:rsidRDefault="0051434C" w:rsidP="0026784F">
            <w:r w:rsidRPr="00DE58AD">
              <w:t>2005</w:t>
            </w:r>
          </w:p>
        </w:tc>
        <w:tc>
          <w:tcPr>
            <w:tcW w:w="724" w:type="dxa"/>
          </w:tcPr>
          <w:p w14:paraId="1246A169" w14:textId="77777777" w:rsidR="0051434C" w:rsidRPr="00DE58AD" w:rsidRDefault="0051434C" w:rsidP="0026784F">
            <w:r w:rsidRPr="00DE58AD">
              <w:t>2006</w:t>
            </w:r>
          </w:p>
        </w:tc>
        <w:tc>
          <w:tcPr>
            <w:tcW w:w="724" w:type="dxa"/>
          </w:tcPr>
          <w:p w14:paraId="3AAB0413" w14:textId="77777777" w:rsidR="0051434C" w:rsidRPr="00DE58AD" w:rsidRDefault="0051434C" w:rsidP="0026784F">
            <w:r w:rsidRPr="00DE58AD">
              <w:t>2007</w:t>
            </w:r>
          </w:p>
        </w:tc>
        <w:tc>
          <w:tcPr>
            <w:tcW w:w="724" w:type="dxa"/>
          </w:tcPr>
          <w:p w14:paraId="4DC818F4" w14:textId="77777777" w:rsidR="0051434C" w:rsidRPr="00DE58AD" w:rsidRDefault="0051434C" w:rsidP="0026784F">
            <w:r w:rsidRPr="00DE58AD">
              <w:t>2008</w:t>
            </w:r>
          </w:p>
        </w:tc>
        <w:tc>
          <w:tcPr>
            <w:tcW w:w="724" w:type="dxa"/>
          </w:tcPr>
          <w:p w14:paraId="1072307F" w14:textId="77777777" w:rsidR="0051434C" w:rsidRPr="00DE58AD" w:rsidRDefault="0051434C" w:rsidP="0026784F">
            <w:r w:rsidRPr="00DE58AD">
              <w:t>2009</w:t>
            </w:r>
          </w:p>
        </w:tc>
        <w:tc>
          <w:tcPr>
            <w:tcW w:w="724" w:type="dxa"/>
          </w:tcPr>
          <w:p w14:paraId="07BB222D" w14:textId="77777777" w:rsidR="0051434C" w:rsidRPr="00DE58AD" w:rsidRDefault="0051434C" w:rsidP="0026784F">
            <w:r w:rsidRPr="00DE58AD">
              <w:t>2010</w:t>
            </w:r>
          </w:p>
        </w:tc>
        <w:tc>
          <w:tcPr>
            <w:tcW w:w="724" w:type="dxa"/>
          </w:tcPr>
          <w:p w14:paraId="311AC801" w14:textId="77777777" w:rsidR="0051434C" w:rsidRPr="00DE58AD" w:rsidRDefault="0051434C" w:rsidP="0026784F">
            <w:r w:rsidRPr="00DE58AD">
              <w:t>2011</w:t>
            </w:r>
          </w:p>
        </w:tc>
        <w:tc>
          <w:tcPr>
            <w:tcW w:w="724" w:type="dxa"/>
          </w:tcPr>
          <w:p w14:paraId="6B7795EB" w14:textId="77777777" w:rsidR="0051434C" w:rsidRPr="00DE58AD" w:rsidRDefault="0051434C" w:rsidP="0026784F">
            <w:r w:rsidRPr="00DE58AD">
              <w:t>2012</w:t>
            </w:r>
          </w:p>
        </w:tc>
        <w:tc>
          <w:tcPr>
            <w:tcW w:w="724" w:type="dxa"/>
          </w:tcPr>
          <w:p w14:paraId="65BF441E" w14:textId="77777777" w:rsidR="0051434C" w:rsidRPr="00DE58AD" w:rsidRDefault="0051434C" w:rsidP="0026784F">
            <w:r w:rsidRPr="00DE58AD">
              <w:t>2013</w:t>
            </w:r>
          </w:p>
        </w:tc>
        <w:tc>
          <w:tcPr>
            <w:tcW w:w="724" w:type="dxa"/>
          </w:tcPr>
          <w:p w14:paraId="75A51487" w14:textId="77777777" w:rsidR="0051434C" w:rsidRPr="00DE58AD" w:rsidRDefault="0051434C" w:rsidP="0026784F">
            <w:r w:rsidRPr="00DE58AD">
              <w:t>2014</w:t>
            </w:r>
          </w:p>
        </w:tc>
        <w:tc>
          <w:tcPr>
            <w:tcW w:w="724" w:type="dxa"/>
          </w:tcPr>
          <w:p w14:paraId="591172E2" w14:textId="77777777" w:rsidR="0051434C" w:rsidRPr="00DE58AD" w:rsidRDefault="0051434C" w:rsidP="0026784F">
            <w:r w:rsidRPr="00DE58AD">
              <w:t>2015</w:t>
            </w:r>
          </w:p>
        </w:tc>
        <w:tc>
          <w:tcPr>
            <w:tcW w:w="533" w:type="dxa"/>
          </w:tcPr>
          <w:p w14:paraId="0D711B0D" w14:textId="77777777" w:rsidR="0051434C" w:rsidRPr="00DE58AD" w:rsidRDefault="0051434C" w:rsidP="0026784F">
            <w:r w:rsidRPr="00DE58AD">
              <w:t>2016</w:t>
            </w:r>
          </w:p>
        </w:tc>
      </w:tr>
      <w:tr w:rsidR="00DE58AD" w:rsidRPr="00DE58AD" w14:paraId="121D5AA8" w14:textId="77777777" w:rsidTr="0051434C">
        <w:trPr>
          <w:trHeight w:val="402"/>
          <w:jc w:val="center"/>
        </w:trPr>
        <w:tc>
          <w:tcPr>
            <w:tcW w:w="11672" w:type="dxa"/>
            <w:gridSpan w:val="16"/>
          </w:tcPr>
          <w:p w14:paraId="50381228" w14:textId="0A4146C2" w:rsidR="0051434C" w:rsidRPr="00DE58AD" w:rsidRDefault="0051434C" w:rsidP="0026784F">
            <w:pPr>
              <w:rPr>
                <w:b/>
                <w:bCs/>
              </w:rPr>
            </w:pPr>
            <w:bookmarkStart w:id="7" w:name="_Hlk57507199"/>
            <w:r w:rsidRPr="00DE58AD">
              <w:rPr>
                <w:b/>
                <w:bCs/>
              </w:rPr>
              <w:t>Fine particulate matter</w:t>
            </w:r>
            <w:bookmarkEnd w:id="7"/>
          </w:p>
        </w:tc>
      </w:tr>
      <w:tr w:rsidR="00DE58AD" w:rsidRPr="00DE58AD" w14:paraId="112D3D47" w14:textId="77777777" w:rsidTr="0051434C">
        <w:trPr>
          <w:trHeight w:val="843"/>
          <w:jc w:val="center"/>
        </w:trPr>
        <w:tc>
          <w:tcPr>
            <w:tcW w:w="1000" w:type="dxa"/>
          </w:tcPr>
          <w:p w14:paraId="0B2B9582" w14:textId="77777777" w:rsidR="0051434C" w:rsidRPr="00DE58AD" w:rsidRDefault="0051434C" w:rsidP="0026784F">
            <w:r w:rsidRPr="00DE58AD">
              <w:t xml:space="preserve">Toronto, ON </w:t>
            </w:r>
          </w:p>
        </w:tc>
        <w:tc>
          <w:tcPr>
            <w:tcW w:w="724" w:type="dxa"/>
          </w:tcPr>
          <w:p w14:paraId="221351BA" w14:textId="77777777" w:rsidR="0051434C" w:rsidRPr="00DE58AD" w:rsidRDefault="0051434C" w:rsidP="0026784F">
            <w:r w:rsidRPr="00DE58AD">
              <w:t>8.6</w:t>
            </w:r>
          </w:p>
        </w:tc>
        <w:tc>
          <w:tcPr>
            <w:tcW w:w="724" w:type="dxa"/>
          </w:tcPr>
          <w:p w14:paraId="5A331A92" w14:textId="77777777" w:rsidR="0051434C" w:rsidRPr="00DE58AD" w:rsidRDefault="0051434C" w:rsidP="0026784F">
            <w:r w:rsidRPr="00DE58AD">
              <w:t>8.4</w:t>
            </w:r>
          </w:p>
        </w:tc>
        <w:tc>
          <w:tcPr>
            <w:tcW w:w="724" w:type="dxa"/>
          </w:tcPr>
          <w:p w14:paraId="758F303F" w14:textId="77777777" w:rsidR="0051434C" w:rsidRPr="00DE58AD" w:rsidRDefault="0051434C" w:rsidP="0026784F">
            <w:r w:rsidRPr="00DE58AD">
              <w:t>7.8</w:t>
            </w:r>
          </w:p>
        </w:tc>
        <w:tc>
          <w:tcPr>
            <w:tcW w:w="724" w:type="dxa"/>
          </w:tcPr>
          <w:p w14:paraId="113ADF98" w14:textId="77777777" w:rsidR="0051434C" w:rsidRPr="00DE58AD" w:rsidRDefault="0051434C" w:rsidP="0026784F">
            <w:r w:rsidRPr="00DE58AD">
              <w:t>9.0</w:t>
            </w:r>
          </w:p>
        </w:tc>
        <w:tc>
          <w:tcPr>
            <w:tcW w:w="724" w:type="dxa"/>
          </w:tcPr>
          <w:p w14:paraId="1AA083B1" w14:textId="77777777" w:rsidR="0051434C" w:rsidRPr="00DE58AD" w:rsidRDefault="0051434C" w:rsidP="0026784F">
            <w:r w:rsidRPr="00DE58AD">
              <w:t>7.6</w:t>
            </w:r>
          </w:p>
        </w:tc>
        <w:tc>
          <w:tcPr>
            <w:tcW w:w="724" w:type="dxa"/>
          </w:tcPr>
          <w:p w14:paraId="1AE8DCFE" w14:textId="77777777" w:rsidR="0051434C" w:rsidRPr="00DE58AD" w:rsidRDefault="0051434C" w:rsidP="0026784F">
            <w:r w:rsidRPr="00DE58AD">
              <w:t>7.7</w:t>
            </w:r>
          </w:p>
        </w:tc>
        <w:tc>
          <w:tcPr>
            <w:tcW w:w="724" w:type="dxa"/>
          </w:tcPr>
          <w:p w14:paraId="7272BEE2" w14:textId="77777777" w:rsidR="0051434C" w:rsidRPr="00DE58AD" w:rsidRDefault="0051434C" w:rsidP="0026784F">
            <w:r w:rsidRPr="00DE58AD">
              <w:t>7.1</w:t>
            </w:r>
          </w:p>
        </w:tc>
        <w:tc>
          <w:tcPr>
            <w:tcW w:w="724" w:type="dxa"/>
          </w:tcPr>
          <w:p w14:paraId="3711D04D" w14:textId="77777777" w:rsidR="0051434C" w:rsidRPr="00DE58AD" w:rsidRDefault="0051434C" w:rsidP="0026784F">
            <w:r w:rsidRPr="00DE58AD">
              <w:t>5.6</w:t>
            </w:r>
          </w:p>
        </w:tc>
        <w:tc>
          <w:tcPr>
            <w:tcW w:w="724" w:type="dxa"/>
          </w:tcPr>
          <w:p w14:paraId="4170D88A" w14:textId="77777777" w:rsidR="0051434C" w:rsidRPr="00DE58AD" w:rsidRDefault="0051434C" w:rsidP="0026784F">
            <w:r w:rsidRPr="00DE58AD">
              <w:t>6.1</w:t>
            </w:r>
          </w:p>
        </w:tc>
        <w:tc>
          <w:tcPr>
            <w:tcW w:w="724" w:type="dxa"/>
          </w:tcPr>
          <w:p w14:paraId="212FF350" w14:textId="77777777" w:rsidR="0051434C" w:rsidRPr="00DE58AD" w:rsidRDefault="0051434C" w:rsidP="0026784F">
            <w:r w:rsidRPr="00DE58AD">
              <w:t>6.4</w:t>
            </w:r>
          </w:p>
        </w:tc>
        <w:tc>
          <w:tcPr>
            <w:tcW w:w="724" w:type="dxa"/>
          </w:tcPr>
          <w:p w14:paraId="4795FAFC" w14:textId="77777777" w:rsidR="0051434C" w:rsidRPr="00DE58AD" w:rsidRDefault="0051434C" w:rsidP="0026784F">
            <w:r w:rsidRPr="00DE58AD">
              <w:t>6.3</w:t>
            </w:r>
          </w:p>
        </w:tc>
        <w:tc>
          <w:tcPr>
            <w:tcW w:w="724" w:type="dxa"/>
          </w:tcPr>
          <w:p w14:paraId="5FCA74DB" w14:textId="77777777" w:rsidR="0051434C" w:rsidRPr="00DE58AD" w:rsidRDefault="0051434C" w:rsidP="0026784F">
            <w:r w:rsidRPr="00DE58AD">
              <w:t>8.3</w:t>
            </w:r>
          </w:p>
        </w:tc>
        <w:tc>
          <w:tcPr>
            <w:tcW w:w="724" w:type="dxa"/>
          </w:tcPr>
          <w:p w14:paraId="74F1D131" w14:textId="77777777" w:rsidR="0051434C" w:rsidRPr="00DE58AD" w:rsidRDefault="0051434C" w:rsidP="0026784F">
            <w:r w:rsidRPr="00DE58AD">
              <w:t>8.8</w:t>
            </w:r>
          </w:p>
        </w:tc>
        <w:tc>
          <w:tcPr>
            <w:tcW w:w="724" w:type="dxa"/>
          </w:tcPr>
          <w:p w14:paraId="7BF34A9F" w14:textId="77777777" w:rsidR="0051434C" w:rsidRPr="00DE58AD" w:rsidRDefault="0051434C" w:rsidP="0026784F">
            <w:r w:rsidRPr="00DE58AD">
              <w:t>8.5</w:t>
            </w:r>
          </w:p>
        </w:tc>
        <w:tc>
          <w:tcPr>
            <w:tcW w:w="533" w:type="dxa"/>
          </w:tcPr>
          <w:p w14:paraId="3F829F7C" w14:textId="77777777" w:rsidR="0051434C" w:rsidRPr="00DE58AD" w:rsidRDefault="0051434C" w:rsidP="0026784F">
            <w:r w:rsidRPr="00DE58AD">
              <w:t>7.0</w:t>
            </w:r>
          </w:p>
        </w:tc>
      </w:tr>
      <w:tr w:rsidR="00DE58AD" w:rsidRPr="00DE58AD" w14:paraId="1A1DBE5A" w14:textId="77777777" w:rsidTr="0051434C">
        <w:trPr>
          <w:trHeight w:val="286"/>
          <w:jc w:val="center"/>
        </w:trPr>
        <w:tc>
          <w:tcPr>
            <w:tcW w:w="1000" w:type="dxa"/>
            <w:noWrap/>
            <w:hideMark/>
          </w:tcPr>
          <w:p w14:paraId="0F948F7C" w14:textId="47B2E10C" w:rsidR="0051434C" w:rsidRPr="000F7259" w:rsidRDefault="0051434C" w:rsidP="0026784F">
            <w:pPr>
              <w:spacing w:line="240" w:lineRule="auto"/>
              <w:rPr>
                <w:rFonts w:eastAsia="Times New Roman" w:cs="Times New Roman"/>
                <w:szCs w:val="24"/>
                <w:lang w:val="en-GB" w:eastAsia="en-GB"/>
              </w:rPr>
            </w:pPr>
            <w:r w:rsidRPr="000F7259">
              <w:rPr>
                <w:rFonts w:eastAsia="Times New Roman" w:cs="Times New Roman"/>
                <w:szCs w:val="24"/>
                <w:lang w:val="en-GB" w:eastAsia="en-GB"/>
              </w:rPr>
              <w:t>Windsor</w:t>
            </w:r>
            <w:r w:rsidRPr="00DE58AD">
              <w:rPr>
                <w:rFonts w:eastAsia="Times New Roman" w:cs="Times New Roman"/>
                <w:szCs w:val="24"/>
                <w:lang w:val="en-GB" w:eastAsia="en-GB"/>
              </w:rPr>
              <w:t>, ON</w:t>
            </w:r>
          </w:p>
        </w:tc>
        <w:tc>
          <w:tcPr>
            <w:tcW w:w="724" w:type="dxa"/>
            <w:noWrap/>
            <w:hideMark/>
          </w:tcPr>
          <w:p w14:paraId="51512E7C" w14:textId="77777777" w:rsidR="0051434C" w:rsidRPr="00DE58AD" w:rsidRDefault="0051434C" w:rsidP="0026784F">
            <w:pPr>
              <w:spacing w:line="240" w:lineRule="auto"/>
              <w:rPr>
                <w:rFonts w:eastAsia="Times New Roman" w:cs="Times New Roman"/>
                <w:szCs w:val="24"/>
                <w:lang w:val="en-GB" w:eastAsia="en-GB"/>
              </w:rPr>
            </w:pPr>
            <w:r w:rsidRPr="000F7259">
              <w:rPr>
                <w:rFonts w:eastAsia="Times New Roman" w:cs="Times New Roman"/>
                <w:szCs w:val="24"/>
                <w:lang w:val="en-GB" w:eastAsia="en-GB"/>
              </w:rPr>
              <w:t>n/a</w:t>
            </w:r>
          </w:p>
          <w:p w14:paraId="32712BDB" w14:textId="77777777" w:rsidR="0051434C" w:rsidRPr="00DE58AD" w:rsidRDefault="0051434C" w:rsidP="0026784F">
            <w:pPr>
              <w:spacing w:line="240" w:lineRule="auto"/>
              <w:rPr>
                <w:rFonts w:eastAsia="Times New Roman" w:cs="Times New Roman"/>
                <w:szCs w:val="24"/>
                <w:lang w:val="en-GB" w:eastAsia="en-GB"/>
              </w:rPr>
            </w:pPr>
          </w:p>
          <w:p w14:paraId="3AAC3E1C" w14:textId="77777777" w:rsidR="0051434C" w:rsidRPr="000F7259" w:rsidRDefault="0051434C" w:rsidP="0026784F">
            <w:pPr>
              <w:spacing w:line="240" w:lineRule="auto"/>
              <w:rPr>
                <w:rFonts w:eastAsia="Times New Roman" w:cs="Times New Roman"/>
                <w:szCs w:val="24"/>
                <w:lang w:val="en-GB" w:eastAsia="en-GB"/>
              </w:rPr>
            </w:pPr>
          </w:p>
        </w:tc>
        <w:tc>
          <w:tcPr>
            <w:tcW w:w="724" w:type="dxa"/>
            <w:noWrap/>
            <w:hideMark/>
          </w:tcPr>
          <w:p w14:paraId="7CD791EF" w14:textId="77777777" w:rsidR="0051434C" w:rsidRPr="000F7259" w:rsidRDefault="0051434C" w:rsidP="0026784F">
            <w:pPr>
              <w:spacing w:line="480" w:lineRule="auto"/>
              <w:jc w:val="left"/>
            </w:pPr>
            <w:r w:rsidRPr="000F7259">
              <w:t>9</w:t>
            </w:r>
          </w:p>
        </w:tc>
        <w:tc>
          <w:tcPr>
            <w:tcW w:w="724" w:type="dxa"/>
            <w:noWrap/>
            <w:hideMark/>
          </w:tcPr>
          <w:p w14:paraId="75066EE3" w14:textId="77777777" w:rsidR="0051434C" w:rsidRPr="000F7259" w:rsidRDefault="0051434C" w:rsidP="0026784F">
            <w:pPr>
              <w:spacing w:line="480" w:lineRule="auto"/>
              <w:jc w:val="left"/>
            </w:pPr>
            <w:r w:rsidRPr="000F7259">
              <w:t>9</w:t>
            </w:r>
          </w:p>
        </w:tc>
        <w:tc>
          <w:tcPr>
            <w:tcW w:w="724" w:type="dxa"/>
            <w:noWrap/>
            <w:hideMark/>
          </w:tcPr>
          <w:p w14:paraId="12D8FE6B" w14:textId="77777777" w:rsidR="0051434C" w:rsidRPr="000F7259" w:rsidRDefault="0051434C" w:rsidP="0026784F">
            <w:pPr>
              <w:spacing w:line="480" w:lineRule="auto"/>
              <w:jc w:val="left"/>
            </w:pPr>
            <w:r w:rsidRPr="000F7259">
              <w:t>10.5</w:t>
            </w:r>
          </w:p>
        </w:tc>
        <w:tc>
          <w:tcPr>
            <w:tcW w:w="724" w:type="dxa"/>
            <w:noWrap/>
            <w:hideMark/>
          </w:tcPr>
          <w:p w14:paraId="29A4FD67" w14:textId="77777777" w:rsidR="0051434C" w:rsidRPr="000F7259" w:rsidRDefault="0051434C" w:rsidP="0026784F">
            <w:pPr>
              <w:spacing w:line="480" w:lineRule="auto"/>
              <w:jc w:val="left"/>
            </w:pPr>
            <w:r w:rsidRPr="000F7259">
              <w:t>8.7</w:t>
            </w:r>
          </w:p>
        </w:tc>
        <w:tc>
          <w:tcPr>
            <w:tcW w:w="724" w:type="dxa"/>
            <w:noWrap/>
            <w:hideMark/>
          </w:tcPr>
          <w:p w14:paraId="399A2A8A" w14:textId="77777777" w:rsidR="0051434C" w:rsidRPr="000F7259" w:rsidRDefault="0051434C" w:rsidP="0026784F">
            <w:pPr>
              <w:spacing w:line="480" w:lineRule="auto"/>
              <w:jc w:val="left"/>
            </w:pPr>
            <w:r w:rsidRPr="000F7259">
              <w:t>9.7</w:t>
            </w:r>
          </w:p>
        </w:tc>
        <w:tc>
          <w:tcPr>
            <w:tcW w:w="724" w:type="dxa"/>
            <w:noWrap/>
            <w:hideMark/>
          </w:tcPr>
          <w:p w14:paraId="6A5ECCF7" w14:textId="77777777" w:rsidR="0051434C" w:rsidRPr="000F7259" w:rsidRDefault="0051434C" w:rsidP="0026784F">
            <w:pPr>
              <w:spacing w:line="480" w:lineRule="auto"/>
              <w:jc w:val="left"/>
            </w:pPr>
            <w:r w:rsidRPr="000F7259">
              <w:t>8.6</w:t>
            </w:r>
          </w:p>
        </w:tc>
        <w:tc>
          <w:tcPr>
            <w:tcW w:w="724" w:type="dxa"/>
            <w:noWrap/>
            <w:hideMark/>
          </w:tcPr>
          <w:p w14:paraId="51EA21F4" w14:textId="77777777" w:rsidR="0051434C" w:rsidRPr="000F7259" w:rsidRDefault="0051434C" w:rsidP="0026784F">
            <w:pPr>
              <w:spacing w:line="480" w:lineRule="auto"/>
              <w:jc w:val="left"/>
            </w:pPr>
            <w:r w:rsidRPr="000F7259">
              <w:t>7.3</w:t>
            </w:r>
          </w:p>
        </w:tc>
        <w:tc>
          <w:tcPr>
            <w:tcW w:w="724" w:type="dxa"/>
            <w:noWrap/>
            <w:hideMark/>
          </w:tcPr>
          <w:p w14:paraId="1E258202" w14:textId="77777777" w:rsidR="0051434C" w:rsidRPr="000F7259" w:rsidRDefault="0051434C" w:rsidP="0026784F">
            <w:pPr>
              <w:spacing w:line="480" w:lineRule="auto"/>
              <w:jc w:val="left"/>
            </w:pPr>
            <w:r w:rsidRPr="000F7259">
              <w:t>7.8</w:t>
            </w:r>
          </w:p>
        </w:tc>
        <w:tc>
          <w:tcPr>
            <w:tcW w:w="724" w:type="dxa"/>
            <w:noWrap/>
            <w:hideMark/>
          </w:tcPr>
          <w:p w14:paraId="1FF93D94" w14:textId="77777777" w:rsidR="0051434C" w:rsidRPr="000F7259" w:rsidRDefault="0051434C" w:rsidP="0026784F">
            <w:pPr>
              <w:spacing w:line="480" w:lineRule="auto"/>
              <w:jc w:val="left"/>
            </w:pPr>
            <w:r w:rsidRPr="000F7259">
              <w:t>7.8</w:t>
            </w:r>
          </w:p>
        </w:tc>
        <w:tc>
          <w:tcPr>
            <w:tcW w:w="724" w:type="dxa"/>
            <w:noWrap/>
            <w:hideMark/>
          </w:tcPr>
          <w:p w14:paraId="37BC08BE" w14:textId="77777777" w:rsidR="0051434C" w:rsidRPr="000F7259" w:rsidRDefault="0051434C" w:rsidP="0026784F">
            <w:pPr>
              <w:spacing w:line="480" w:lineRule="auto"/>
              <w:jc w:val="left"/>
            </w:pPr>
            <w:r w:rsidRPr="000F7259">
              <w:t>7.5</w:t>
            </w:r>
          </w:p>
        </w:tc>
        <w:tc>
          <w:tcPr>
            <w:tcW w:w="724" w:type="dxa"/>
            <w:noWrap/>
            <w:hideMark/>
          </w:tcPr>
          <w:p w14:paraId="43A840C8" w14:textId="77777777" w:rsidR="0051434C" w:rsidRPr="000F7259" w:rsidRDefault="0051434C" w:rsidP="0026784F">
            <w:pPr>
              <w:spacing w:line="480" w:lineRule="auto"/>
              <w:jc w:val="left"/>
            </w:pPr>
            <w:r w:rsidRPr="000F7259">
              <w:t>9.6</w:t>
            </w:r>
          </w:p>
        </w:tc>
        <w:tc>
          <w:tcPr>
            <w:tcW w:w="724" w:type="dxa"/>
            <w:noWrap/>
            <w:hideMark/>
          </w:tcPr>
          <w:p w14:paraId="28CA17BE" w14:textId="77777777" w:rsidR="0051434C" w:rsidRPr="000F7259" w:rsidRDefault="0051434C" w:rsidP="0026784F">
            <w:pPr>
              <w:spacing w:line="480" w:lineRule="auto"/>
              <w:jc w:val="left"/>
            </w:pPr>
            <w:r w:rsidRPr="000F7259">
              <w:t>10.4</w:t>
            </w:r>
          </w:p>
        </w:tc>
        <w:tc>
          <w:tcPr>
            <w:tcW w:w="724" w:type="dxa"/>
            <w:noWrap/>
            <w:hideMark/>
          </w:tcPr>
          <w:p w14:paraId="6BFD9AC1" w14:textId="77777777" w:rsidR="0051434C" w:rsidRPr="000F7259" w:rsidRDefault="0051434C" w:rsidP="0026784F">
            <w:pPr>
              <w:spacing w:line="480" w:lineRule="auto"/>
              <w:jc w:val="left"/>
            </w:pPr>
            <w:r w:rsidRPr="000F7259">
              <w:t>9.5</w:t>
            </w:r>
          </w:p>
        </w:tc>
        <w:tc>
          <w:tcPr>
            <w:tcW w:w="533" w:type="dxa"/>
            <w:noWrap/>
            <w:hideMark/>
          </w:tcPr>
          <w:p w14:paraId="7B26C9EF" w14:textId="77777777" w:rsidR="0051434C" w:rsidRPr="000F7259" w:rsidRDefault="0051434C" w:rsidP="0026784F">
            <w:pPr>
              <w:spacing w:line="480" w:lineRule="auto"/>
              <w:jc w:val="left"/>
            </w:pPr>
            <w:r w:rsidRPr="000F7259">
              <w:t>8.3</w:t>
            </w:r>
          </w:p>
        </w:tc>
      </w:tr>
      <w:tr w:rsidR="00DE58AD" w:rsidRPr="00DE58AD" w14:paraId="1195EDCB" w14:textId="77777777" w:rsidTr="0051434C">
        <w:trPr>
          <w:trHeight w:val="286"/>
          <w:jc w:val="center"/>
        </w:trPr>
        <w:tc>
          <w:tcPr>
            <w:tcW w:w="11672" w:type="dxa"/>
            <w:gridSpan w:val="16"/>
            <w:noWrap/>
          </w:tcPr>
          <w:p w14:paraId="021C4529" w14:textId="77777777" w:rsidR="0051434C" w:rsidRPr="00DE58AD" w:rsidRDefault="0051434C" w:rsidP="0026784F">
            <w:pPr>
              <w:rPr>
                <w:b/>
                <w:bCs/>
              </w:rPr>
            </w:pPr>
            <w:r w:rsidRPr="00DE58AD">
              <w:rPr>
                <w:b/>
                <w:bCs/>
              </w:rPr>
              <w:t>Ozone (O3)</w:t>
            </w:r>
          </w:p>
        </w:tc>
      </w:tr>
      <w:tr w:rsidR="00DE58AD" w:rsidRPr="00DE58AD" w14:paraId="57B4C27A" w14:textId="77777777" w:rsidTr="0051434C">
        <w:trPr>
          <w:trHeight w:val="286"/>
          <w:jc w:val="center"/>
        </w:trPr>
        <w:tc>
          <w:tcPr>
            <w:tcW w:w="1000" w:type="dxa"/>
            <w:noWrap/>
            <w:hideMark/>
          </w:tcPr>
          <w:p w14:paraId="3FD04B8E" w14:textId="77777777" w:rsidR="0051434C" w:rsidRPr="004C2000" w:rsidRDefault="0051434C" w:rsidP="0026784F">
            <w:pPr>
              <w:spacing w:line="480" w:lineRule="auto"/>
            </w:pPr>
            <w:r w:rsidRPr="004C2000">
              <w:t>Toronto,</w:t>
            </w:r>
            <w:r w:rsidRPr="00DE58AD">
              <w:t xml:space="preserve"> ON</w:t>
            </w:r>
          </w:p>
        </w:tc>
        <w:tc>
          <w:tcPr>
            <w:tcW w:w="724" w:type="dxa"/>
            <w:noWrap/>
            <w:hideMark/>
          </w:tcPr>
          <w:p w14:paraId="34EF6A04" w14:textId="77777777" w:rsidR="0051434C" w:rsidRPr="004C2000" w:rsidRDefault="0051434C" w:rsidP="0026784F">
            <w:pPr>
              <w:spacing w:line="480" w:lineRule="auto"/>
              <w:jc w:val="right"/>
            </w:pPr>
            <w:r w:rsidRPr="004C2000">
              <w:t>36.9</w:t>
            </w:r>
          </w:p>
        </w:tc>
        <w:tc>
          <w:tcPr>
            <w:tcW w:w="724" w:type="dxa"/>
            <w:noWrap/>
            <w:hideMark/>
          </w:tcPr>
          <w:p w14:paraId="5FC2F6B7" w14:textId="77777777" w:rsidR="0051434C" w:rsidRPr="004C2000" w:rsidRDefault="0051434C" w:rsidP="0026784F">
            <w:pPr>
              <w:spacing w:line="480" w:lineRule="auto"/>
              <w:jc w:val="right"/>
            </w:pPr>
            <w:r w:rsidRPr="004C2000">
              <w:t>35</w:t>
            </w:r>
          </w:p>
        </w:tc>
        <w:tc>
          <w:tcPr>
            <w:tcW w:w="724" w:type="dxa"/>
            <w:noWrap/>
            <w:hideMark/>
          </w:tcPr>
          <w:p w14:paraId="557FAD76" w14:textId="77777777" w:rsidR="0051434C" w:rsidRPr="004C2000" w:rsidRDefault="0051434C" w:rsidP="0026784F">
            <w:pPr>
              <w:spacing w:line="480" w:lineRule="auto"/>
              <w:jc w:val="right"/>
            </w:pPr>
            <w:r w:rsidRPr="004C2000">
              <w:t>32.8</w:t>
            </w:r>
          </w:p>
        </w:tc>
        <w:tc>
          <w:tcPr>
            <w:tcW w:w="724" w:type="dxa"/>
            <w:noWrap/>
            <w:hideMark/>
          </w:tcPr>
          <w:p w14:paraId="1E2E5FAF" w14:textId="77777777" w:rsidR="0051434C" w:rsidRPr="004C2000" w:rsidRDefault="0051434C" w:rsidP="0026784F">
            <w:pPr>
              <w:spacing w:line="480" w:lineRule="auto"/>
              <w:jc w:val="right"/>
            </w:pPr>
            <w:r w:rsidRPr="004C2000">
              <w:t>36.5</w:t>
            </w:r>
          </w:p>
        </w:tc>
        <w:tc>
          <w:tcPr>
            <w:tcW w:w="724" w:type="dxa"/>
            <w:noWrap/>
            <w:hideMark/>
          </w:tcPr>
          <w:p w14:paraId="741991EA" w14:textId="77777777" w:rsidR="0051434C" w:rsidRPr="004C2000" w:rsidRDefault="0051434C" w:rsidP="0026784F">
            <w:pPr>
              <w:spacing w:line="480" w:lineRule="auto"/>
              <w:jc w:val="right"/>
            </w:pPr>
            <w:r w:rsidRPr="004C2000">
              <w:t>33.8</w:t>
            </w:r>
          </w:p>
        </w:tc>
        <w:tc>
          <w:tcPr>
            <w:tcW w:w="724" w:type="dxa"/>
            <w:noWrap/>
            <w:hideMark/>
          </w:tcPr>
          <w:p w14:paraId="13FFB9F1" w14:textId="77777777" w:rsidR="0051434C" w:rsidRPr="004C2000" w:rsidRDefault="0051434C" w:rsidP="0026784F">
            <w:pPr>
              <w:spacing w:line="480" w:lineRule="auto"/>
              <w:jc w:val="right"/>
            </w:pPr>
            <w:r w:rsidRPr="004C2000">
              <w:t>36.4</w:t>
            </w:r>
          </w:p>
        </w:tc>
        <w:tc>
          <w:tcPr>
            <w:tcW w:w="724" w:type="dxa"/>
            <w:noWrap/>
            <w:hideMark/>
          </w:tcPr>
          <w:p w14:paraId="548D16CF" w14:textId="77777777" w:rsidR="0051434C" w:rsidRPr="004C2000" w:rsidRDefault="0051434C" w:rsidP="0026784F">
            <w:pPr>
              <w:spacing w:line="480" w:lineRule="auto"/>
              <w:jc w:val="right"/>
            </w:pPr>
            <w:r w:rsidRPr="004C2000">
              <w:t>35.1</w:t>
            </w:r>
          </w:p>
        </w:tc>
        <w:tc>
          <w:tcPr>
            <w:tcW w:w="724" w:type="dxa"/>
            <w:noWrap/>
            <w:hideMark/>
          </w:tcPr>
          <w:p w14:paraId="43B0EF3F" w14:textId="77777777" w:rsidR="0051434C" w:rsidRPr="004C2000" w:rsidRDefault="0051434C" w:rsidP="0026784F">
            <w:pPr>
              <w:spacing w:line="480" w:lineRule="auto"/>
              <w:jc w:val="right"/>
            </w:pPr>
            <w:r w:rsidRPr="004C2000">
              <w:t>33.9</w:t>
            </w:r>
          </w:p>
        </w:tc>
        <w:tc>
          <w:tcPr>
            <w:tcW w:w="724" w:type="dxa"/>
            <w:noWrap/>
            <w:hideMark/>
          </w:tcPr>
          <w:p w14:paraId="75D71AE0" w14:textId="77777777" w:rsidR="0051434C" w:rsidRPr="004C2000" w:rsidRDefault="0051434C" w:rsidP="0026784F">
            <w:pPr>
              <w:spacing w:line="480" w:lineRule="auto"/>
              <w:jc w:val="right"/>
            </w:pPr>
            <w:r w:rsidRPr="004C2000">
              <w:t>35.4</w:t>
            </w:r>
          </w:p>
        </w:tc>
        <w:tc>
          <w:tcPr>
            <w:tcW w:w="724" w:type="dxa"/>
            <w:noWrap/>
            <w:hideMark/>
          </w:tcPr>
          <w:p w14:paraId="582EFF28" w14:textId="77777777" w:rsidR="0051434C" w:rsidRPr="004C2000" w:rsidRDefault="0051434C" w:rsidP="0026784F">
            <w:pPr>
              <w:spacing w:line="480" w:lineRule="auto"/>
              <w:jc w:val="right"/>
            </w:pPr>
            <w:r w:rsidRPr="004C2000">
              <w:t>34.2</w:t>
            </w:r>
          </w:p>
        </w:tc>
        <w:tc>
          <w:tcPr>
            <w:tcW w:w="724" w:type="dxa"/>
            <w:noWrap/>
            <w:hideMark/>
          </w:tcPr>
          <w:p w14:paraId="1DFF7E12" w14:textId="77777777" w:rsidR="0051434C" w:rsidRPr="004C2000" w:rsidRDefault="0051434C" w:rsidP="0026784F">
            <w:pPr>
              <w:spacing w:line="480" w:lineRule="auto"/>
              <w:jc w:val="right"/>
            </w:pPr>
            <w:r w:rsidRPr="004C2000">
              <w:t>36.6</w:t>
            </w:r>
          </w:p>
        </w:tc>
        <w:tc>
          <w:tcPr>
            <w:tcW w:w="724" w:type="dxa"/>
            <w:noWrap/>
            <w:hideMark/>
          </w:tcPr>
          <w:p w14:paraId="6D943886" w14:textId="77777777" w:rsidR="0051434C" w:rsidRPr="004C2000" w:rsidRDefault="0051434C" w:rsidP="0026784F">
            <w:pPr>
              <w:spacing w:line="480" w:lineRule="auto"/>
              <w:jc w:val="right"/>
            </w:pPr>
            <w:r w:rsidRPr="004C2000">
              <w:t>34.7</w:t>
            </w:r>
          </w:p>
        </w:tc>
        <w:tc>
          <w:tcPr>
            <w:tcW w:w="724" w:type="dxa"/>
            <w:noWrap/>
            <w:hideMark/>
          </w:tcPr>
          <w:p w14:paraId="6A497186" w14:textId="77777777" w:rsidR="0051434C" w:rsidRPr="004C2000" w:rsidRDefault="0051434C" w:rsidP="0026784F">
            <w:pPr>
              <w:spacing w:line="480" w:lineRule="auto"/>
              <w:jc w:val="right"/>
            </w:pPr>
            <w:r w:rsidRPr="004C2000">
              <w:t>34.8</w:t>
            </w:r>
          </w:p>
        </w:tc>
        <w:tc>
          <w:tcPr>
            <w:tcW w:w="724" w:type="dxa"/>
            <w:noWrap/>
            <w:hideMark/>
          </w:tcPr>
          <w:p w14:paraId="1E9523D5" w14:textId="77777777" w:rsidR="0051434C" w:rsidRPr="004C2000" w:rsidRDefault="0051434C" w:rsidP="0026784F">
            <w:pPr>
              <w:spacing w:line="480" w:lineRule="auto"/>
              <w:jc w:val="right"/>
            </w:pPr>
            <w:r w:rsidRPr="004C2000">
              <w:t>34.9</w:t>
            </w:r>
          </w:p>
        </w:tc>
        <w:tc>
          <w:tcPr>
            <w:tcW w:w="533" w:type="dxa"/>
            <w:noWrap/>
            <w:hideMark/>
          </w:tcPr>
          <w:p w14:paraId="5A8C6969" w14:textId="77777777" w:rsidR="0051434C" w:rsidRPr="004C2000" w:rsidRDefault="0051434C" w:rsidP="0026784F">
            <w:pPr>
              <w:spacing w:line="480" w:lineRule="auto"/>
              <w:jc w:val="right"/>
            </w:pPr>
            <w:r w:rsidRPr="004C2000">
              <w:t>36</w:t>
            </w:r>
          </w:p>
        </w:tc>
      </w:tr>
      <w:tr w:rsidR="00DE58AD" w:rsidRPr="00DE58AD" w14:paraId="6A87BADE" w14:textId="77777777" w:rsidTr="0051434C">
        <w:trPr>
          <w:trHeight w:val="286"/>
          <w:jc w:val="center"/>
        </w:trPr>
        <w:tc>
          <w:tcPr>
            <w:tcW w:w="1000" w:type="dxa"/>
            <w:noWrap/>
          </w:tcPr>
          <w:p w14:paraId="4C959A49" w14:textId="77777777" w:rsidR="0051434C" w:rsidRPr="00DE58AD" w:rsidRDefault="0051434C" w:rsidP="0026784F">
            <w:pPr>
              <w:spacing w:line="480" w:lineRule="auto"/>
            </w:pPr>
            <w:r w:rsidRPr="00DA66BD">
              <w:t>Windso</w:t>
            </w:r>
            <w:r w:rsidRPr="00DE58AD">
              <w:t>r</w:t>
            </w:r>
            <w:r w:rsidRPr="00DA66BD">
              <w:t>,</w:t>
            </w:r>
            <w:r w:rsidRPr="00DE58AD">
              <w:t xml:space="preserve"> ON</w:t>
            </w:r>
          </w:p>
        </w:tc>
        <w:tc>
          <w:tcPr>
            <w:tcW w:w="724" w:type="dxa"/>
            <w:noWrap/>
          </w:tcPr>
          <w:p w14:paraId="224CC5CD" w14:textId="77777777" w:rsidR="0051434C" w:rsidRPr="00DE58AD" w:rsidRDefault="0051434C" w:rsidP="0026784F">
            <w:pPr>
              <w:spacing w:line="480" w:lineRule="auto"/>
            </w:pPr>
            <w:r w:rsidRPr="00DA66BD">
              <w:t>35.5</w:t>
            </w:r>
          </w:p>
        </w:tc>
        <w:tc>
          <w:tcPr>
            <w:tcW w:w="724" w:type="dxa"/>
            <w:noWrap/>
          </w:tcPr>
          <w:p w14:paraId="764D16CC" w14:textId="77777777" w:rsidR="0051434C" w:rsidRPr="00DE58AD" w:rsidRDefault="0051434C" w:rsidP="0026784F">
            <w:pPr>
              <w:spacing w:line="480" w:lineRule="auto"/>
            </w:pPr>
            <w:r w:rsidRPr="00DA66BD">
              <w:t>35.5</w:t>
            </w:r>
          </w:p>
        </w:tc>
        <w:tc>
          <w:tcPr>
            <w:tcW w:w="724" w:type="dxa"/>
            <w:noWrap/>
          </w:tcPr>
          <w:p w14:paraId="06707B56" w14:textId="77777777" w:rsidR="0051434C" w:rsidRPr="00DE58AD" w:rsidRDefault="0051434C" w:rsidP="0026784F">
            <w:pPr>
              <w:spacing w:line="480" w:lineRule="auto"/>
            </w:pPr>
            <w:r w:rsidRPr="00DA66BD">
              <w:t>33</w:t>
            </w:r>
          </w:p>
        </w:tc>
        <w:tc>
          <w:tcPr>
            <w:tcW w:w="724" w:type="dxa"/>
            <w:noWrap/>
          </w:tcPr>
          <w:p w14:paraId="24384306" w14:textId="77777777" w:rsidR="0051434C" w:rsidRPr="00DE58AD" w:rsidRDefault="0051434C" w:rsidP="0026784F">
            <w:pPr>
              <w:spacing w:line="480" w:lineRule="auto"/>
            </w:pPr>
            <w:r w:rsidRPr="00DA66BD">
              <w:t>39.5</w:t>
            </w:r>
          </w:p>
        </w:tc>
        <w:tc>
          <w:tcPr>
            <w:tcW w:w="724" w:type="dxa"/>
            <w:noWrap/>
          </w:tcPr>
          <w:p w14:paraId="1D6FFA2C" w14:textId="77777777" w:rsidR="0051434C" w:rsidRPr="00DE58AD" w:rsidRDefault="0051434C" w:rsidP="0026784F">
            <w:pPr>
              <w:spacing w:line="480" w:lineRule="auto"/>
            </w:pPr>
            <w:r w:rsidRPr="00DA66BD">
              <w:t>36.5</w:t>
            </w:r>
          </w:p>
        </w:tc>
        <w:tc>
          <w:tcPr>
            <w:tcW w:w="724" w:type="dxa"/>
            <w:noWrap/>
          </w:tcPr>
          <w:p w14:paraId="6BDD3E47" w14:textId="77777777" w:rsidR="0051434C" w:rsidRPr="00DE58AD" w:rsidRDefault="0051434C" w:rsidP="0026784F">
            <w:pPr>
              <w:spacing w:line="480" w:lineRule="auto"/>
            </w:pPr>
            <w:r w:rsidRPr="00DA66BD">
              <w:t>39.5</w:t>
            </w:r>
          </w:p>
        </w:tc>
        <w:tc>
          <w:tcPr>
            <w:tcW w:w="724" w:type="dxa"/>
            <w:noWrap/>
          </w:tcPr>
          <w:p w14:paraId="21AB10E5" w14:textId="77777777" w:rsidR="0051434C" w:rsidRPr="00DE58AD" w:rsidRDefault="0051434C" w:rsidP="0026784F">
            <w:pPr>
              <w:spacing w:line="480" w:lineRule="auto"/>
            </w:pPr>
            <w:r w:rsidRPr="00DA66BD">
              <w:t>38</w:t>
            </w:r>
          </w:p>
        </w:tc>
        <w:tc>
          <w:tcPr>
            <w:tcW w:w="724" w:type="dxa"/>
            <w:noWrap/>
          </w:tcPr>
          <w:p w14:paraId="3AB3F8A2" w14:textId="77777777" w:rsidR="0051434C" w:rsidRPr="00DE58AD" w:rsidRDefault="0051434C" w:rsidP="0026784F">
            <w:pPr>
              <w:spacing w:line="480" w:lineRule="auto"/>
            </w:pPr>
            <w:r w:rsidRPr="00DA66BD">
              <w:t>36</w:t>
            </w:r>
          </w:p>
        </w:tc>
        <w:tc>
          <w:tcPr>
            <w:tcW w:w="724" w:type="dxa"/>
            <w:noWrap/>
          </w:tcPr>
          <w:p w14:paraId="255637B8" w14:textId="77777777" w:rsidR="0051434C" w:rsidRPr="00DE58AD" w:rsidRDefault="0051434C" w:rsidP="0026784F">
            <w:pPr>
              <w:spacing w:line="480" w:lineRule="auto"/>
            </w:pPr>
            <w:r w:rsidRPr="00DA66BD">
              <w:t>38.5</w:t>
            </w:r>
          </w:p>
        </w:tc>
        <w:tc>
          <w:tcPr>
            <w:tcW w:w="724" w:type="dxa"/>
            <w:noWrap/>
          </w:tcPr>
          <w:p w14:paraId="77A451A7" w14:textId="77777777" w:rsidR="0051434C" w:rsidRPr="00DE58AD" w:rsidRDefault="0051434C" w:rsidP="0026784F">
            <w:pPr>
              <w:spacing w:line="480" w:lineRule="auto"/>
            </w:pPr>
            <w:r w:rsidRPr="00DA66BD">
              <w:t>38.5</w:t>
            </w:r>
          </w:p>
        </w:tc>
        <w:tc>
          <w:tcPr>
            <w:tcW w:w="724" w:type="dxa"/>
            <w:noWrap/>
          </w:tcPr>
          <w:p w14:paraId="75DD5C44" w14:textId="77777777" w:rsidR="0051434C" w:rsidRPr="00DE58AD" w:rsidRDefault="0051434C" w:rsidP="0026784F">
            <w:pPr>
              <w:spacing w:line="480" w:lineRule="auto"/>
            </w:pPr>
            <w:r w:rsidRPr="00DA66BD">
              <w:t>40</w:t>
            </w:r>
          </w:p>
        </w:tc>
        <w:tc>
          <w:tcPr>
            <w:tcW w:w="724" w:type="dxa"/>
            <w:noWrap/>
          </w:tcPr>
          <w:p w14:paraId="48298C6C" w14:textId="77777777" w:rsidR="0051434C" w:rsidRPr="00DE58AD" w:rsidRDefault="0051434C" w:rsidP="0026784F">
            <w:pPr>
              <w:spacing w:line="480" w:lineRule="auto"/>
            </w:pPr>
            <w:r w:rsidRPr="00DA66BD">
              <w:t>37.5</w:t>
            </w:r>
          </w:p>
        </w:tc>
        <w:tc>
          <w:tcPr>
            <w:tcW w:w="724" w:type="dxa"/>
            <w:noWrap/>
          </w:tcPr>
          <w:p w14:paraId="7CFCDE7A" w14:textId="77777777" w:rsidR="0051434C" w:rsidRPr="00DE58AD" w:rsidRDefault="0051434C" w:rsidP="0026784F">
            <w:pPr>
              <w:spacing w:line="480" w:lineRule="auto"/>
            </w:pPr>
            <w:r w:rsidRPr="00DA66BD">
              <w:t>38</w:t>
            </w:r>
          </w:p>
        </w:tc>
        <w:tc>
          <w:tcPr>
            <w:tcW w:w="724" w:type="dxa"/>
            <w:noWrap/>
          </w:tcPr>
          <w:p w14:paraId="0BEFE6F5" w14:textId="77777777" w:rsidR="0051434C" w:rsidRPr="00DE58AD" w:rsidRDefault="0051434C" w:rsidP="0026784F">
            <w:pPr>
              <w:spacing w:line="480" w:lineRule="auto"/>
            </w:pPr>
            <w:r w:rsidRPr="00DA66BD">
              <w:t>38</w:t>
            </w:r>
          </w:p>
        </w:tc>
        <w:tc>
          <w:tcPr>
            <w:tcW w:w="533" w:type="dxa"/>
            <w:noWrap/>
          </w:tcPr>
          <w:p w14:paraId="0D7C0991" w14:textId="77777777" w:rsidR="0051434C" w:rsidRPr="00DE58AD" w:rsidRDefault="0051434C" w:rsidP="0026784F">
            <w:pPr>
              <w:spacing w:line="480" w:lineRule="auto"/>
            </w:pPr>
            <w:r w:rsidRPr="00DA66BD">
              <w:t>39.5</w:t>
            </w:r>
          </w:p>
        </w:tc>
      </w:tr>
    </w:tbl>
    <w:p w14:paraId="56EDC973" w14:textId="77777777" w:rsidR="0051434C" w:rsidRPr="00DE58AD" w:rsidRDefault="0051434C" w:rsidP="0051434C">
      <w:bookmarkStart w:id="8" w:name="_Toc57341046"/>
    </w:p>
    <w:p w14:paraId="4CDD76F3" w14:textId="3470655F" w:rsidR="0051434C" w:rsidRPr="00DE58AD" w:rsidRDefault="0051434C" w:rsidP="0051434C">
      <w:r w:rsidRPr="00DE58AD">
        <w:lastRenderedPageBreak/>
        <w:t>Table 2. The concentration levels of Sulfur dioxide in Windsor and Toronto (Ministry of the environment and climate change, 2016)</w:t>
      </w:r>
    </w:p>
    <w:tbl>
      <w:tblPr>
        <w:tblStyle w:val="TableGridLight"/>
        <w:tblW w:w="11515" w:type="dxa"/>
        <w:jc w:val="center"/>
        <w:tblLook w:val="04A0" w:firstRow="1" w:lastRow="0" w:firstColumn="1" w:lastColumn="0" w:noHBand="0" w:noVBand="1"/>
      </w:tblPr>
      <w:tblGrid>
        <w:gridCol w:w="816"/>
        <w:gridCol w:w="1043"/>
        <w:gridCol w:w="750"/>
        <w:gridCol w:w="1005"/>
        <w:gridCol w:w="656"/>
        <w:gridCol w:w="656"/>
        <w:gridCol w:w="656"/>
        <w:gridCol w:w="656"/>
        <w:gridCol w:w="656"/>
        <w:gridCol w:w="763"/>
        <w:gridCol w:w="981"/>
        <w:gridCol w:w="576"/>
        <w:gridCol w:w="744"/>
        <w:gridCol w:w="576"/>
        <w:gridCol w:w="981"/>
      </w:tblGrid>
      <w:tr w:rsidR="00DE58AD" w:rsidRPr="00DE58AD" w14:paraId="7E837553" w14:textId="77777777" w:rsidTr="0051434C">
        <w:trPr>
          <w:trHeight w:val="188"/>
          <w:jc w:val="center"/>
        </w:trPr>
        <w:tc>
          <w:tcPr>
            <w:tcW w:w="816" w:type="dxa"/>
            <w:noWrap/>
          </w:tcPr>
          <w:p w14:paraId="672917ED" w14:textId="77777777" w:rsidR="0051434C" w:rsidRPr="00DE58AD" w:rsidRDefault="0051434C" w:rsidP="00711065">
            <w:pPr>
              <w:jc w:val="right"/>
              <w:rPr>
                <w:rFonts w:eastAsia="Times New Roman" w:cs="Times New Roman"/>
                <w:szCs w:val="24"/>
                <w:lang w:val="en-GB" w:eastAsia="en-GB"/>
              </w:rPr>
            </w:pPr>
            <w:r w:rsidRPr="00DE58AD">
              <w:rPr>
                <w:rFonts w:eastAsia="Times New Roman" w:cs="Times New Roman"/>
                <w:szCs w:val="24"/>
                <w:lang w:val="en-GB" w:eastAsia="en-GB"/>
              </w:rPr>
              <w:t>ID</w:t>
            </w:r>
          </w:p>
        </w:tc>
        <w:tc>
          <w:tcPr>
            <w:tcW w:w="1043" w:type="dxa"/>
            <w:noWrap/>
          </w:tcPr>
          <w:p w14:paraId="2E87BC29" w14:textId="77777777" w:rsidR="0051434C" w:rsidRPr="00DE58AD" w:rsidRDefault="0051434C" w:rsidP="00711065">
            <w:pPr>
              <w:rPr>
                <w:rFonts w:eastAsia="Times New Roman" w:cs="Times New Roman"/>
                <w:szCs w:val="24"/>
                <w:lang w:val="en-GB" w:eastAsia="en-GB"/>
              </w:rPr>
            </w:pPr>
            <w:r w:rsidRPr="00DE58AD">
              <w:rPr>
                <w:rFonts w:eastAsia="Times New Roman" w:cs="Times New Roman"/>
                <w:szCs w:val="24"/>
                <w:lang w:val="en-GB" w:eastAsia="en-GB"/>
              </w:rPr>
              <w:t xml:space="preserve">City </w:t>
            </w:r>
          </w:p>
        </w:tc>
        <w:tc>
          <w:tcPr>
            <w:tcW w:w="750" w:type="dxa"/>
            <w:noWrap/>
          </w:tcPr>
          <w:p w14:paraId="284A3B4D" w14:textId="77777777" w:rsidR="0051434C" w:rsidRPr="00DE58AD" w:rsidRDefault="0051434C" w:rsidP="00711065">
            <w:pPr>
              <w:jc w:val="right"/>
              <w:rPr>
                <w:rFonts w:eastAsia="Times New Roman" w:cs="Times New Roman"/>
                <w:szCs w:val="24"/>
                <w:lang w:val="en-GB" w:eastAsia="en-GB"/>
              </w:rPr>
            </w:pPr>
          </w:p>
        </w:tc>
        <w:tc>
          <w:tcPr>
            <w:tcW w:w="4285" w:type="dxa"/>
            <w:gridSpan w:val="6"/>
            <w:noWrap/>
          </w:tcPr>
          <w:p w14:paraId="42D1BA9C" w14:textId="77777777" w:rsidR="0051434C" w:rsidRPr="00DE58AD" w:rsidRDefault="0051434C" w:rsidP="00711065">
            <w:pPr>
              <w:jc w:val="right"/>
              <w:rPr>
                <w:rFonts w:eastAsia="Times New Roman" w:cs="Times New Roman"/>
                <w:szCs w:val="24"/>
                <w:lang w:val="en-GB" w:eastAsia="en-GB"/>
              </w:rPr>
            </w:pPr>
            <w:r w:rsidRPr="00DE58AD">
              <w:rPr>
                <w:rFonts w:eastAsia="Times New Roman" w:cs="Times New Roman"/>
                <w:szCs w:val="24"/>
                <w:lang w:val="en-GB" w:eastAsia="en-GB"/>
              </w:rPr>
              <w:t>Percentile</w:t>
            </w:r>
          </w:p>
        </w:tc>
        <w:tc>
          <w:tcPr>
            <w:tcW w:w="763" w:type="dxa"/>
            <w:noWrap/>
          </w:tcPr>
          <w:p w14:paraId="02F0D103" w14:textId="77777777" w:rsidR="0051434C" w:rsidRPr="00DE58AD" w:rsidRDefault="0051434C" w:rsidP="00711065">
            <w:pPr>
              <w:jc w:val="right"/>
              <w:rPr>
                <w:rFonts w:eastAsia="Times New Roman" w:cs="Times New Roman"/>
                <w:szCs w:val="24"/>
                <w:lang w:val="en-GB" w:eastAsia="en-GB"/>
              </w:rPr>
            </w:pPr>
          </w:p>
        </w:tc>
        <w:tc>
          <w:tcPr>
            <w:tcW w:w="1557" w:type="dxa"/>
            <w:gridSpan w:val="2"/>
            <w:noWrap/>
          </w:tcPr>
          <w:p w14:paraId="6B8F0780" w14:textId="77777777" w:rsidR="0051434C" w:rsidRPr="00DE58AD" w:rsidRDefault="0051434C" w:rsidP="00711065">
            <w:pPr>
              <w:jc w:val="right"/>
              <w:rPr>
                <w:rFonts w:eastAsia="Times New Roman" w:cs="Times New Roman"/>
                <w:szCs w:val="24"/>
                <w:lang w:val="en-GB" w:eastAsia="en-GB"/>
              </w:rPr>
            </w:pPr>
            <w:r w:rsidRPr="00DE58AD">
              <w:rPr>
                <w:rFonts w:eastAsia="Times New Roman" w:cs="Times New Roman"/>
                <w:szCs w:val="24"/>
                <w:lang w:val="en-GB" w:eastAsia="en-GB"/>
              </w:rPr>
              <w:t>Maximum</w:t>
            </w:r>
          </w:p>
        </w:tc>
        <w:tc>
          <w:tcPr>
            <w:tcW w:w="2301" w:type="dxa"/>
            <w:gridSpan w:val="3"/>
            <w:noWrap/>
          </w:tcPr>
          <w:p w14:paraId="691FA82B" w14:textId="77777777" w:rsidR="0051434C" w:rsidRPr="00DE58AD" w:rsidRDefault="0051434C" w:rsidP="00711065">
            <w:pPr>
              <w:jc w:val="right"/>
              <w:rPr>
                <w:rFonts w:eastAsia="Times New Roman" w:cs="Times New Roman"/>
                <w:szCs w:val="24"/>
                <w:lang w:val="en-GB" w:eastAsia="en-GB"/>
              </w:rPr>
            </w:pPr>
            <w:r w:rsidRPr="00DE58AD">
              <w:rPr>
                <w:rFonts w:eastAsia="Times New Roman" w:cs="Times New Roman"/>
                <w:szCs w:val="24"/>
                <w:lang w:val="en-GB" w:eastAsia="en-GB"/>
              </w:rPr>
              <w:t>No. of times above criteria</w:t>
            </w:r>
          </w:p>
        </w:tc>
      </w:tr>
      <w:tr w:rsidR="00DE58AD" w:rsidRPr="00DE58AD" w14:paraId="330D66E1" w14:textId="77777777" w:rsidTr="0051434C">
        <w:trPr>
          <w:trHeight w:val="188"/>
          <w:jc w:val="center"/>
        </w:trPr>
        <w:tc>
          <w:tcPr>
            <w:tcW w:w="816" w:type="dxa"/>
            <w:noWrap/>
          </w:tcPr>
          <w:p w14:paraId="1438ED16" w14:textId="77777777" w:rsidR="0051434C" w:rsidRPr="00DE58AD" w:rsidRDefault="0051434C" w:rsidP="00711065">
            <w:pPr>
              <w:jc w:val="right"/>
              <w:rPr>
                <w:rFonts w:eastAsia="Times New Roman" w:cs="Times New Roman"/>
                <w:szCs w:val="24"/>
                <w:lang w:val="en-GB" w:eastAsia="en-GB"/>
              </w:rPr>
            </w:pPr>
          </w:p>
        </w:tc>
        <w:tc>
          <w:tcPr>
            <w:tcW w:w="1043" w:type="dxa"/>
            <w:noWrap/>
          </w:tcPr>
          <w:p w14:paraId="66EC2940" w14:textId="77777777" w:rsidR="0051434C" w:rsidRPr="00DE58AD" w:rsidRDefault="0051434C" w:rsidP="00711065">
            <w:pPr>
              <w:rPr>
                <w:rFonts w:eastAsia="Times New Roman" w:cs="Times New Roman"/>
                <w:szCs w:val="24"/>
                <w:lang w:val="en-GB" w:eastAsia="en-GB"/>
              </w:rPr>
            </w:pPr>
          </w:p>
        </w:tc>
        <w:tc>
          <w:tcPr>
            <w:tcW w:w="750" w:type="dxa"/>
            <w:noWrap/>
          </w:tcPr>
          <w:p w14:paraId="0CF7684D" w14:textId="77777777" w:rsidR="0051434C" w:rsidRPr="00DE58AD" w:rsidRDefault="0051434C" w:rsidP="00711065">
            <w:pPr>
              <w:jc w:val="right"/>
              <w:rPr>
                <w:rFonts w:eastAsia="Times New Roman" w:cs="Times New Roman"/>
                <w:szCs w:val="24"/>
                <w:lang w:val="en-GB" w:eastAsia="en-GB"/>
              </w:rPr>
            </w:pPr>
            <w:r w:rsidRPr="0064313C">
              <w:rPr>
                <w:rFonts w:eastAsia="Times New Roman" w:cs="Times New Roman"/>
                <w:szCs w:val="24"/>
                <w:lang w:val="en-GB" w:eastAsia="en-GB"/>
              </w:rPr>
              <w:t>Valid</w:t>
            </w:r>
            <w:r w:rsidRPr="00DE58AD">
              <w:rPr>
                <w:rFonts w:eastAsia="Times New Roman" w:cs="Times New Roman"/>
                <w:szCs w:val="24"/>
                <w:lang w:val="en-GB" w:eastAsia="en-GB"/>
              </w:rPr>
              <w:t xml:space="preserve"> h</w:t>
            </w:r>
          </w:p>
        </w:tc>
        <w:tc>
          <w:tcPr>
            <w:tcW w:w="1005" w:type="dxa"/>
            <w:noWrap/>
          </w:tcPr>
          <w:p w14:paraId="0A69029B" w14:textId="77777777" w:rsidR="0051434C" w:rsidRPr="00DE58AD" w:rsidRDefault="0051434C" w:rsidP="00711065">
            <w:pPr>
              <w:jc w:val="right"/>
              <w:rPr>
                <w:rFonts w:eastAsia="Times New Roman" w:cs="Times New Roman"/>
                <w:szCs w:val="24"/>
                <w:lang w:val="en-GB" w:eastAsia="en-GB"/>
              </w:rPr>
            </w:pPr>
            <w:r w:rsidRPr="0064313C">
              <w:rPr>
                <w:rFonts w:eastAsia="Times New Roman" w:cs="Times New Roman"/>
                <w:szCs w:val="24"/>
                <w:lang w:val="en-GB" w:eastAsia="en-GB"/>
              </w:rPr>
              <w:t>10%</w:t>
            </w:r>
          </w:p>
        </w:tc>
        <w:tc>
          <w:tcPr>
            <w:tcW w:w="656" w:type="dxa"/>
            <w:noWrap/>
          </w:tcPr>
          <w:p w14:paraId="7995A35C" w14:textId="77777777" w:rsidR="0051434C" w:rsidRPr="00DE58AD" w:rsidRDefault="0051434C" w:rsidP="00711065">
            <w:pPr>
              <w:jc w:val="right"/>
              <w:rPr>
                <w:rFonts w:eastAsia="Times New Roman" w:cs="Times New Roman"/>
                <w:szCs w:val="24"/>
                <w:lang w:val="en-GB" w:eastAsia="en-GB"/>
              </w:rPr>
            </w:pPr>
            <w:r w:rsidRPr="0064313C">
              <w:rPr>
                <w:rFonts w:eastAsia="Times New Roman" w:cs="Times New Roman"/>
                <w:szCs w:val="24"/>
                <w:lang w:val="en-GB" w:eastAsia="en-GB"/>
              </w:rPr>
              <w:t>30%</w:t>
            </w:r>
          </w:p>
        </w:tc>
        <w:tc>
          <w:tcPr>
            <w:tcW w:w="656" w:type="dxa"/>
            <w:noWrap/>
          </w:tcPr>
          <w:p w14:paraId="7CA90351" w14:textId="77777777" w:rsidR="0051434C" w:rsidRPr="00DE58AD" w:rsidRDefault="0051434C" w:rsidP="00711065">
            <w:pPr>
              <w:jc w:val="right"/>
              <w:rPr>
                <w:rFonts w:eastAsia="Times New Roman" w:cs="Times New Roman"/>
                <w:szCs w:val="24"/>
                <w:lang w:val="en-GB" w:eastAsia="en-GB"/>
              </w:rPr>
            </w:pPr>
            <w:r w:rsidRPr="0064313C">
              <w:rPr>
                <w:rFonts w:eastAsia="Times New Roman" w:cs="Times New Roman"/>
                <w:szCs w:val="24"/>
                <w:lang w:val="en-GB" w:eastAsia="en-GB"/>
              </w:rPr>
              <w:t>50%</w:t>
            </w:r>
          </w:p>
        </w:tc>
        <w:tc>
          <w:tcPr>
            <w:tcW w:w="656" w:type="dxa"/>
            <w:noWrap/>
          </w:tcPr>
          <w:p w14:paraId="7AF14736" w14:textId="77777777" w:rsidR="0051434C" w:rsidRPr="00DE58AD" w:rsidRDefault="0051434C" w:rsidP="00711065">
            <w:pPr>
              <w:jc w:val="right"/>
              <w:rPr>
                <w:rFonts w:eastAsia="Times New Roman" w:cs="Times New Roman"/>
                <w:szCs w:val="24"/>
                <w:lang w:val="en-GB" w:eastAsia="en-GB"/>
              </w:rPr>
            </w:pPr>
            <w:r w:rsidRPr="0064313C">
              <w:rPr>
                <w:rFonts w:eastAsia="Times New Roman" w:cs="Times New Roman"/>
                <w:szCs w:val="24"/>
                <w:lang w:val="en-GB" w:eastAsia="en-GB"/>
              </w:rPr>
              <w:t>70%</w:t>
            </w:r>
          </w:p>
        </w:tc>
        <w:tc>
          <w:tcPr>
            <w:tcW w:w="656" w:type="dxa"/>
            <w:noWrap/>
          </w:tcPr>
          <w:p w14:paraId="1545EE83" w14:textId="77777777" w:rsidR="0051434C" w:rsidRPr="00DE58AD" w:rsidRDefault="0051434C" w:rsidP="00711065">
            <w:pPr>
              <w:jc w:val="right"/>
              <w:rPr>
                <w:rFonts w:eastAsia="Times New Roman" w:cs="Times New Roman"/>
                <w:szCs w:val="24"/>
                <w:lang w:val="en-GB" w:eastAsia="en-GB"/>
              </w:rPr>
            </w:pPr>
            <w:r w:rsidRPr="0064313C">
              <w:rPr>
                <w:rFonts w:eastAsia="Times New Roman" w:cs="Times New Roman"/>
                <w:szCs w:val="24"/>
                <w:lang w:val="en-GB" w:eastAsia="en-GB"/>
              </w:rPr>
              <w:t>90%</w:t>
            </w:r>
          </w:p>
        </w:tc>
        <w:tc>
          <w:tcPr>
            <w:tcW w:w="656" w:type="dxa"/>
            <w:noWrap/>
          </w:tcPr>
          <w:p w14:paraId="36DBCFDD" w14:textId="77777777" w:rsidR="0051434C" w:rsidRPr="00DE58AD" w:rsidRDefault="0051434C" w:rsidP="00711065">
            <w:pPr>
              <w:jc w:val="right"/>
              <w:rPr>
                <w:rFonts w:eastAsia="Times New Roman" w:cs="Times New Roman"/>
                <w:szCs w:val="24"/>
                <w:lang w:val="en-GB" w:eastAsia="en-GB"/>
              </w:rPr>
            </w:pPr>
            <w:r w:rsidRPr="0064313C">
              <w:rPr>
                <w:rFonts w:eastAsia="Times New Roman" w:cs="Times New Roman"/>
                <w:szCs w:val="24"/>
                <w:lang w:val="en-GB" w:eastAsia="en-GB"/>
              </w:rPr>
              <w:t>99%</w:t>
            </w:r>
          </w:p>
        </w:tc>
        <w:tc>
          <w:tcPr>
            <w:tcW w:w="763" w:type="dxa"/>
            <w:noWrap/>
          </w:tcPr>
          <w:p w14:paraId="29C21493" w14:textId="77777777" w:rsidR="0051434C" w:rsidRPr="00DE58AD" w:rsidRDefault="0051434C" w:rsidP="00711065">
            <w:pPr>
              <w:jc w:val="right"/>
              <w:rPr>
                <w:rFonts w:eastAsia="Times New Roman" w:cs="Times New Roman"/>
                <w:szCs w:val="24"/>
                <w:lang w:val="en-GB" w:eastAsia="en-GB"/>
              </w:rPr>
            </w:pPr>
            <w:r w:rsidRPr="0064313C">
              <w:rPr>
                <w:rFonts w:eastAsia="Times New Roman" w:cs="Times New Roman"/>
                <w:szCs w:val="24"/>
                <w:lang w:val="en-GB" w:eastAsia="en-GB"/>
              </w:rPr>
              <w:t>Mean</w:t>
            </w:r>
          </w:p>
        </w:tc>
        <w:tc>
          <w:tcPr>
            <w:tcW w:w="981" w:type="dxa"/>
            <w:noWrap/>
          </w:tcPr>
          <w:p w14:paraId="159C033A" w14:textId="77777777" w:rsidR="0051434C" w:rsidRPr="00DE58AD" w:rsidRDefault="0051434C" w:rsidP="00711065">
            <w:pPr>
              <w:jc w:val="right"/>
              <w:rPr>
                <w:rFonts w:eastAsia="Times New Roman" w:cs="Times New Roman"/>
                <w:szCs w:val="24"/>
                <w:lang w:val="en-GB" w:eastAsia="en-GB"/>
              </w:rPr>
            </w:pPr>
            <w:r w:rsidRPr="0064313C">
              <w:rPr>
                <w:rFonts w:eastAsia="Times New Roman" w:cs="Times New Roman"/>
                <w:szCs w:val="24"/>
                <w:lang w:val="en-GB" w:eastAsia="en-GB"/>
              </w:rPr>
              <w:t>1h</w:t>
            </w:r>
          </w:p>
        </w:tc>
        <w:tc>
          <w:tcPr>
            <w:tcW w:w="576" w:type="dxa"/>
            <w:noWrap/>
          </w:tcPr>
          <w:p w14:paraId="1D3487E9" w14:textId="77777777" w:rsidR="0051434C" w:rsidRPr="00DE58AD" w:rsidRDefault="0051434C" w:rsidP="00711065">
            <w:pPr>
              <w:jc w:val="right"/>
              <w:rPr>
                <w:rFonts w:eastAsia="Times New Roman" w:cs="Times New Roman"/>
                <w:szCs w:val="24"/>
                <w:lang w:val="en-GB" w:eastAsia="en-GB"/>
              </w:rPr>
            </w:pPr>
            <w:r w:rsidRPr="0064313C">
              <w:rPr>
                <w:rFonts w:eastAsia="Times New Roman" w:cs="Times New Roman"/>
                <w:szCs w:val="24"/>
                <w:lang w:val="en-GB" w:eastAsia="en-GB"/>
              </w:rPr>
              <w:t>24h</w:t>
            </w:r>
          </w:p>
        </w:tc>
        <w:tc>
          <w:tcPr>
            <w:tcW w:w="744" w:type="dxa"/>
            <w:noWrap/>
          </w:tcPr>
          <w:p w14:paraId="034EC632" w14:textId="77777777" w:rsidR="0051434C" w:rsidRPr="00DE58AD" w:rsidRDefault="0051434C" w:rsidP="00711065">
            <w:pPr>
              <w:jc w:val="right"/>
              <w:rPr>
                <w:rFonts w:eastAsia="Times New Roman" w:cs="Times New Roman"/>
                <w:szCs w:val="24"/>
                <w:lang w:val="en-GB" w:eastAsia="en-GB"/>
              </w:rPr>
            </w:pPr>
            <w:r w:rsidRPr="0064313C">
              <w:rPr>
                <w:rFonts w:eastAsia="Times New Roman" w:cs="Times New Roman"/>
                <w:szCs w:val="24"/>
                <w:lang w:val="en-GB" w:eastAsia="en-GB"/>
              </w:rPr>
              <w:t>1h</w:t>
            </w:r>
          </w:p>
        </w:tc>
        <w:tc>
          <w:tcPr>
            <w:tcW w:w="576" w:type="dxa"/>
            <w:noWrap/>
          </w:tcPr>
          <w:p w14:paraId="001629C2" w14:textId="77777777" w:rsidR="0051434C" w:rsidRPr="00DE58AD" w:rsidRDefault="0051434C" w:rsidP="00711065">
            <w:pPr>
              <w:jc w:val="right"/>
              <w:rPr>
                <w:rFonts w:eastAsia="Times New Roman" w:cs="Times New Roman"/>
                <w:szCs w:val="24"/>
                <w:lang w:val="en-GB" w:eastAsia="en-GB"/>
              </w:rPr>
            </w:pPr>
            <w:r w:rsidRPr="0064313C">
              <w:rPr>
                <w:rFonts w:eastAsia="Times New Roman" w:cs="Times New Roman"/>
                <w:szCs w:val="24"/>
                <w:lang w:val="en-GB" w:eastAsia="en-GB"/>
              </w:rPr>
              <w:t>24h</w:t>
            </w:r>
          </w:p>
        </w:tc>
        <w:tc>
          <w:tcPr>
            <w:tcW w:w="981" w:type="dxa"/>
            <w:noWrap/>
          </w:tcPr>
          <w:p w14:paraId="6D4CB6CA" w14:textId="77777777" w:rsidR="0051434C" w:rsidRPr="00DE58AD" w:rsidRDefault="0051434C" w:rsidP="00711065">
            <w:pPr>
              <w:jc w:val="right"/>
              <w:rPr>
                <w:rFonts w:eastAsia="Times New Roman" w:cs="Times New Roman"/>
                <w:szCs w:val="24"/>
                <w:lang w:val="en-GB" w:eastAsia="en-GB"/>
              </w:rPr>
            </w:pPr>
            <w:r w:rsidRPr="0064313C">
              <w:rPr>
                <w:rFonts w:eastAsia="Times New Roman" w:cs="Times New Roman"/>
                <w:szCs w:val="24"/>
                <w:lang w:val="en-GB" w:eastAsia="en-GB"/>
              </w:rPr>
              <w:t>1y</w:t>
            </w:r>
          </w:p>
        </w:tc>
      </w:tr>
      <w:tr w:rsidR="00DE58AD" w:rsidRPr="00DE58AD" w14:paraId="0E0173C0" w14:textId="77777777" w:rsidTr="0051434C">
        <w:trPr>
          <w:trHeight w:val="188"/>
          <w:jc w:val="center"/>
        </w:trPr>
        <w:tc>
          <w:tcPr>
            <w:tcW w:w="816" w:type="dxa"/>
            <w:noWrap/>
            <w:hideMark/>
          </w:tcPr>
          <w:p w14:paraId="24308641" w14:textId="77777777" w:rsidR="0051434C" w:rsidRPr="0064313C" w:rsidRDefault="0051434C" w:rsidP="00711065">
            <w:pPr>
              <w:jc w:val="right"/>
              <w:rPr>
                <w:rFonts w:eastAsia="Times New Roman" w:cs="Times New Roman"/>
                <w:szCs w:val="24"/>
                <w:lang w:val="en-GB" w:eastAsia="en-GB"/>
              </w:rPr>
            </w:pPr>
            <w:r w:rsidRPr="0064313C">
              <w:rPr>
                <w:rFonts w:eastAsia="Times New Roman" w:cs="Times New Roman"/>
                <w:szCs w:val="24"/>
                <w:lang w:val="en-GB" w:eastAsia="en-GB"/>
              </w:rPr>
              <w:t>12008</w:t>
            </w:r>
          </w:p>
        </w:tc>
        <w:tc>
          <w:tcPr>
            <w:tcW w:w="1043" w:type="dxa"/>
            <w:noWrap/>
            <w:hideMark/>
          </w:tcPr>
          <w:p w14:paraId="749B2E26" w14:textId="77777777" w:rsidR="0051434C" w:rsidRPr="0064313C" w:rsidRDefault="0051434C" w:rsidP="00711065">
            <w:pPr>
              <w:rPr>
                <w:rFonts w:eastAsia="Times New Roman" w:cs="Times New Roman"/>
                <w:szCs w:val="24"/>
                <w:lang w:val="en-GB" w:eastAsia="en-GB"/>
              </w:rPr>
            </w:pPr>
            <w:r w:rsidRPr="0064313C">
              <w:rPr>
                <w:rFonts w:eastAsia="Times New Roman" w:cs="Times New Roman"/>
                <w:szCs w:val="24"/>
                <w:lang w:val="en-GB" w:eastAsia="en-GB"/>
              </w:rPr>
              <w:t>Windsor</w:t>
            </w:r>
          </w:p>
        </w:tc>
        <w:tc>
          <w:tcPr>
            <w:tcW w:w="750" w:type="dxa"/>
            <w:noWrap/>
            <w:hideMark/>
          </w:tcPr>
          <w:p w14:paraId="00464D09" w14:textId="77777777" w:rsidR="0051434C" w:rsidRPr="0064313C" w:rsidRDefault="0051434C" w:rsidP="00711065">
            <w:pPr>
              <w:jc w:val="right"/>
              <w:rPr>
                <w:rFonts w:eastAsia="Times New Roman" w:cs="Times New Roman"/>
                <w:szCs w:val="24"/>
                <w:lang w:val="en-GB" w:eastAsia="en-GB"/>
              </w:rPr>
            </w:pPr>
            <w:r w:rsidRPr="0064313C">
              <w:rPr>
                <w:rFonts w:eastAsia="Times New Roman" w:cs="Times New Roman"/>
                <w:szCs w:val="24"/>
                <w:lang w:val="en-GB" w:eastAsia="en-GB"/>
              </w:rPr>
              <w:t>8749</w:t>
            </w:r>
          </w:p>
        </w:tc>
        <w:tc>
          <w:tcPr>
            <w:tcW w:w="1005" w:type="dxa"/>
            <w:noWrap/>
            <w:hideMark/>
          </w:tcPr>
          <w:p w14:paraId="24061508" w14:textId="77777777" w:rsidR="0051434C" w:rsidRPr="0064313C" w:rsidRDefault="0051434C" w:rsidP="00711065">
            <w:pPr>
              <w:jc w:val="right"/>
              <w:rPr>
                <w:rFonts w:eastAsia="Times New Roman" w:cs="Times New Roman"/>
                <w:szCs w:val="24"/>
                <w:lang w:val="en-GB" w:eastAsia="en-GB"/>
              </w:rPr>
            </w:pPr>
            <w:r w:rsidRPr="0064313C">
              <w:rPr>
                <w:rFonts w:eastAsia="Times New Roman" w:cs="Times New Roman"/>
                <w:szCs w:val="24"/>
                <w:lang w:val="en-GB" w:eastAsia="en-GB"/>
              </w:rPr>
              <w:t>0</w:t>
            </w:r>
          </w:p>
        </w:tc>
        <w:tc>
          <w:tcPr>
            <w:tcW w:w="656" w:type="dxa"/>
            <w:noWrap/>
            <w:hideMark/>
          </w:tcPr>
          <w:p w14:paraId="1861A7AE" w14:textId="77777777" w:rsidR="0051434C" w:rsidRPr="0064313C" w:rsidRDefault="0051434C" w:rsidP="00711065">
            <w:pPr>
              <w:jc w:val="right"/>
              <w:rPr>
                <w:rFonts w:eastAsia="Times New Roman" w:cs="Times New Roman"/>
                <w:szCs w:val="24"/>
                <w:lang w:val="en-GB" w:eastAsia="en-GB"/>
              </w:rPr>
            </w:pPr>
            <w:r w:rsidRPr="0064313C">
              <w:rPr>
                <w:rFonts w:eastAsia="Times New Roman" w:cs="Times New Roman"/>
                <w:szCs w:val="24"/>
                <w:lang w:val="en-GB" w:eastAsia="en-GB"/>
              </w:rPr>
              <w:t>0</w:t>
            </w:r>
          </w:p>
        </w:tc>
        <w:tc>
          <w:tcPr>
            <w:tcW w:w="656" w:type="dxa"/>
            <w:noWrap/>
            <w:hideMark/>
          </w:tcPr>
          <w:p w14:paraId="756A82EB" w14:textId="77777777" w:rsidR="0051434C" w:rsidRPr="0064313C" w:rsidRDefault="0051434C" w:rsidP="00711065">
            <w:pPr>
              <w:jc w:val="right"/>
              <w:rPr>
                <w:rFonts w:eastAsia="Times New Roman" w:cs="Times New Roman"/>
                <w:szCs w:val="24"/>
                <w:lang w:val="en-GB" w:eastAsia="en-GB"/>
              </w:rPr>
            </w:pPr>
            <w:r w:rsidRPr="0064313C">
              <w:rPr>
                <w:rFonts w:eastAsia="Times New Roman" w:cs="Times New Roman"/>
                <w:szCs w:val="24"/>
                <w:lang w:val="en-GB" w:eastAsia="en-GB"/>
              </w:rPr>
              <w:t>0</w:t>
            </w:r>
          </w:p>
        </w:tc>
        <w:tc>
          <w:tcPr>
            <w:tcW w:w="656" w:type="dxa"/>
            <w:noWrap/>
            <w:hideMark/>
          </w:tcPr>
          <w:p w14:paraId="122D60DE" w14:textId="77777777" w:rsidR="0051434C" w:rsidRPr="0064313C" w:rsidRDefault="0051434C" w:rsidP="00711065">
            <w:pPr>
              <w:jc w:val="right"/>
              <w:rPr>
                <w:rFonts w:eastAsia="Times New Roman" w:cs="Times New Roman"/>
                <w:szCs w:val="24"/>
                <w:lang w:val="en-GB" w:eastAsia="en-GB"/>
              </w:rPr>
            </w:pPr>
            <w:r w:rsidRPr="0064313C">
              <w:rPr>
                <w:rFonts w:eastAsia="Times New Roman" w:cs="Times New Roman"/>
                <w:szCs w:val="24"/>
                <w:lang w:val="en-GB" w:eastAsia="en-GB"/>
              </w:rPr>
              <w:t>1</w:t>
            </w:r>
          </w:p>
        </w:tc>
        <w:tc>
          <w:tcPr>
            <w:tcW w:w="656" w:type="dxa"/>
            <w:noWrap/>
            <w:hideMark/>
          </w:tcPr>
          <w:p w14:paraId="71E9E2E9" w14:textId="77777777" w:rsidR="0051434C" w:rsidRPr="0064313C" w:rsidRDefault="0051434C" w:rsidP="00711065">
            <w:pPr>
              <w:jc w:val="right"/>
              <w:rPr>
                <w:rFonts w:eastAsia="Times New Roman" w:cs="Times New Roman"/>
                <w:szCs w:val="24"/>
                <w:lang w:val="en-GB" w:eastAsia="en-GB"/>
              </w:rPr>
            </w:pPr>
            <w:r w:rsidRPr="0064313C">
              <w:rPr>
                <w:rFonts w:eastAsia="Times New Roman" w:cs="Times New Roman"/>
                <w:szCs w:val="24"/>
                <w:lang w:val="en-GB" w:eastAsia="en-GB"/>
              </w:rPr>
              <w:t>3</w:t>
            </w:r>
          </w:p>
        </w:tc>
        <w:tc>
          <w:tcPr>
            <w:tcW w:w="656" w:type="dxa"/>
            <w:noWrap/>
            <w:hideMark/>
          </w:tcPr>
          <w:p w14:paraId="34B302AD" w14:textId="77777777" w:rsidR="0051434C" w:rsidRPr="0064313C" w:rsidRDefault="0051434C" w:rsidP="00711065">
            <w:pPr>
              <w:jc w:val="right"/>
              <w:rPr>
                <w:rFonts w:eastAsia="Times New Roman" w:cs="Times New Roman"/>
                <w:szCs w:val="24"/>
                <w:lang w:val="en-GB" w:eastAsia="en-GB"/>
              </w:rPr>
            </w:pPr>
            <w:r w:rsidRPr="0064313C">
              <w:rPr>
                <w:rFonts w:eastAsia="Times New Roman" w:cs="Times New Roman"/>
                <w:szCs w:val="24"/>
                <w:lang w:val="en-GB" w:eastAsia="en-GB"/>
              </w:rPr>
              <w:t>13</w:t>
            </w:r>
          </w:p>
        </w:tc>
        <w:tc>
          <w:tcPr>
            <w:tcW w:w="763" w:type="dxa"/>
            <w:noWrap/>
            <w:hideMark/>
          </w:tcPr>
          <w:p w14:paraId="527A6E67" w14:textId="77777777" w:rsidR="0051434C" w:rsidRPr="0064313C" w:rsidRDefault="0051434C" w:rsidP="00711065">
            <w:pPr>
              <w:jc w:val="right"/>
              <w:rPr>
                <w:rFonts w:eastAsia="Times New Roman" w:cs="Times New Roman"/>
                <w:szCs w:val="24"/>
                <w:lang w:val="en-GB" w:eastAsia="en-GB"/>
              </w:rPr>
            </w:pPr>
            <w:r w:rsidRPr="0064313C">
              <w:rPr>
                <w:rFonts w:eastAsia="Times New Roman" w:cs="Times New Roman"/>
                <w:szCs w:val="24"/>
                <w:lang w:val="en-GB" w:eastAsia="en-GB"/>
              </w:rPr>
              <w:t>1.1</w:t>
            </w:r>
          </w:p>
        </w:tc>
        <w:tc>
          <w:tcPr>
            <w:tcW w:w="981" w:type="dxa"/>
            <w:noWrap/>
            <w:hideMark/>
          </w:tcPr>
          <w:p w14:paraId="3DEA512A" w14:textId="77777777" w:rsidR="0051434C" w:rsidRPr="0064313C" w:rsidRDefault="0051434C" w:rsidP="00711065">
            <w:pPr>
              <w:jc w:val="right"/>
              <w:rPr>
                <w:rFonts w:eastAsia="Times New Roman" w:cs="Times New Roman"/>
                <w:szCs w:val="24"/>
                <w:lang w:val="en-GB" w:eastAsia="en-GB"/>
              </w:rPr>
            </w:pPr>
            <w:r w:rsidRPr="0064313C">
              <w:rPr>
                <w:rFonts w:eastAsia="Times New Roman" w:cs="Times New Roman"/>
                <w:szCs w:val="24"/>
                <w:lang w:val="en-GB" w:eastAsia="en-GB"/>
              </w:rPr>
              <w:t>44</w:t>
            </w:r>
          </w:p>
        </w:tc>
        <w:tc>
          <w:tcPr>
            <w:tcW w:w="576" w:type="dxa"/>
            <w:noWrap/>
            <w:hideMark/>
          </w:tcPr>
          <w:p w14:paraId="613899BD" w14:textId="77777777" w:rsidR="0051434C" w:rsidRPr="0064313C" w:rsidRDefault="0051434C" w:rsidP="00711065">
            <w:pPr>
              <w:jc w:val="right"/>
              <w:rPr>
                <w:rFonts w:eastAsia="Times New Roman" w:cs="Times New Roman"/>
                <w:szCs w:val="24"/>
                <w:lang w:val="en-GB" w:eastAsia="en-GB"/>
              </w:rPr>
            </w:pPr>
            <w:r w:rsidRPr="0064313C">
              <w:rPr>
                <w:rFonts w:eastAsia="Times New Roman" w:cs="Times New Roman"/>
                <w:szCs w:val="24"/>
                <w:lang w:val="en-GB" w:eastAsia="en-GB"/>
              </w:rPr>
              <w:t>12</w:t>
            </w:r>
          </w:p>
        </w:tc>
        <w:tc>
          <w:tcPr>
            <w:tcW w:w="744" w:type="dxa"/>
            <w:noWrap/>
            <w:hideMark/>
          </w:tcPr>
          <w:p w14:paraId="536ECD90" w14:textId="77777777" w:rsidR="0051434C" w:rsidRPr="0064313C" w:rsidRDefault="0051434C" w:rsidP="00711065">
            <w:pPr>
              <w:jc w:val="right"/>
              <w:rPr>
                <w:rFonts w:eastAsia="Times New Roman" w:cs="Times New Roman"/>
                <w:szCs w:val="24"/>
                <w:lang w:val="en-GB" w:eastAsia="en-GB"/>
              </w:rPr>
            </w:pPr>
            <w:r w:rsidRPr="0064313C">
              <w:rPr>
                <w:rFonts w:eastAsia="Times New Roman" w:cs="Times New Roman"/>
                <w:szCs w:val="24"/>
                <w:lang w:val="en-GB" w:eastAsia="en-GB"/>
              </w:rPr>
              <w:t>0</w:t>
            </w:r>
          </w:p>
        </w:tc>
        <w:tc>
          <w:tcPr>
            <w:tcW w:w="576" w:type="dxa"/>
            <w:noWrap/>
            <w:hideMark/>
          </w:tcPr>
          <w:p w14:paraId="5CD0E859" w14:textId="77777777" w:rsidR="0051434C" w:rsidRPr="0064313C" w:rsidRDefault="0051434C" w:rsidP="00711065">
            <w:pPr>
              <w:jc w:val="right"/>
              <w:rPr>
                <w:rFonts w:eastAsia="Times New Roman" w:cs="Times New Roman"/>
                <w:szCs w:val="24"/>
                <w:lang w:val="en-GB" w:eastAsia="en-GB"/>
              </w:rPr>
            </w:pPr>
            <w:r w:rsidRPr="0064313C">
              <w:rPr>
                <w:rFonts w:eastAsia="Times New Roman" w:cs="Times New Roman"/>
                <w:szCs w:val="24"/>
                <w:lang w:val="en-GB" w:eastAsia="en-GB"/>
              </w:rPr>
              <w:t>0</w:t>
            </w:r>
          </w:p>
        </w:tc>
        <w:tc>
          <w:tcPr>
            <w:tcW w:w="981" w:type="dxa"/>
            <w:noWrap/>
            <w:hideMark/>
          </w:tcPr>
          <w:p w14:paraId="556E92C5" w14:textId="77777777" w:rsidR="0051434C" w:rsidRPr="0064313C" w:rsidRDefault="0051434C" w:rsidP="00711065">
            <w:pPr>
              <w:jc w:val="right"/>
              <w:rPr>
                <w:rFonts w:eastAsia="Times New Roman" w:cs="Times New Roman"/>
                <w:szCs w:val="24"/>
                <w:lang w:val="en-GB" w:eastAsia="en-GB"/>
              </w:rPr>
            </w:pPr>
            <w:r w:rsidRPr="0064313C">
              <w:rPr>
                <w:rFonts w:eastAsia="Times New Roman" w:cs="Times New Roman"/>
                <w:szCs w:val="24"/>
                <w:lang w:val="en-GB" w:eastAsia="en-GB"/>
              </w:rPr>
              <w:t>0</w:t>
            </w:r>
          </w:p>
        </w:tc>
      </w:tr>
      <w:tr w:rsidR="00DE58AD" w:rsidRPr="00DE58AD" w14:paraId="24D0BB0F" w14:textId="77777777" w:rsidTr="0051434C">
        <w:trPr>
          <w:trHeight w:val="215"/>
          <w:jc w:val="center"/>
        </w:trPr>
        <w:tc>
          <w:tcPr>
            <w:tcW w:w="816" w:type="dxa"/>
            <w:noWrap/>
            <w:hideMark/>
          </w:tcPr>
          <w:p w14:paraId="68C23A9B" w14:textId="77777777" w:rsidR="0051434C" w:rsidRPr="0064313C" w:rsidRDefault="0051434C" w:rsidP="00711065">
            <w:pPr>
              <w:rPr>
                <w:rFonts w:eastAsia="Times New Roman" w:cs="Times New Roman"/>
                <w:szCs w:val="24"/>
                <w:lang w:val="en-GB" w:eastAsia="en-GB"/>
              </w:rPr>
            </w:pPr>
            <w:r w:rsidRPr="0064313C">
              <w:rPr>
                <w:rFonts w:eastAsia="Times New Roman" w:cs="Times New Roman"/>
                <w:szCs w:val="24"/>
                <w:lang w:val="en-GB" w:eastAsia="en-GB"/>
              </w:rPr>
              <w:t>35125</w:t>
            </w:r>
          </w:p>
        </w:tc>
        <w:tc>
          <w:tcPr>
            <w:tcW w:w="1043" w:type="dxa"/>
            <w:noWrap/>
            <w:hideMark/>
          </w:tcPr>
          <w:p w14:paraId="7E4F2C70" w14:textId="77777777" w:rsidR="0051434C" w:rsidRPr="0064313C" w:rsidRDefault="0051434C" w:rsidP="00711065">
            <w:pPr>
              <w:rPr>
                <w:rFonts w:eastAsia="Times New Roman" w:cs="Times New Roman"/>
                <w:szCs w:val="24"/>
                <w:lang w:val="en-GB" w:eastAsia="en-GB"/>
              </w:rPr>
            </w:pPr>
            <w:r w:rsidRPr="0064313C">
              <w:rPr>
                <w:rFonts w:eastAsia="Times New Roman" w:cs="Times New Roman"/>
                <w:szCs w:val="24"/>
                <w:lang w:val="en-GB" w:eastAsia="en-GB"/>
              </w:rPr>
              <w:t>Toronto</w:t>
            </w:r>
          </w:p>
        </w:tc>
        <w:tc>
          <w:tcPr>
            <w:tcW w:w="750" w:type="dxa"/>
            <w:noWrap/>
            <w:hideMark/>
          </w:tcPr>
          <w:p w14:paraId="3E68C69D" w14:textId="77777777" w:rsidR="0051434C" w:rsidRPr="0064313C" w:rsidRDefault="0051434C" w:rsidP="00711065">
            <w:pPr>
              <w:jc w:val="right"/>
              <w:rPr>
                <w:rFonts w:eastAsia="Times New Roman" w:cs="Times New Roman"/>
                <w:szCs w:val="24"/>
                <w:lang w:val="en-GB" w:eastAsia="en-GB"/>
              </w:rPr>
            </w:pPr>
            <w:r w:rsidRPr="0064313C">
              <w:rPr>
                <w:rFonts w:eastAsia="Times New Roman" w:cs="Times New Roman"/>
                <w:szCs w:val="24"/>
                <w:lang w:val="en-GB" w:eastAsia="en-GB"/>
              </w:rPr>
              <w:t>8686</w:t>
            </w:r>
          </w:p>
        </w:tc>
        <w:tc>
          <w:tcPr>
            <w:tcW w:w="1005" w:type="dxa"/>
            <w:noWrap/>
            <w:hideMark/>
          </w:tcPr>
          <w:p w14:paraId="54984DAD" w14:textId="77777777" w:rsidR="0051434C" w:rsidRPr="0064313C" w:rsidRDefault="0051434C" w:rsidP="00711065">
            <w:pPr>
              <w:jc w:val="right"/>
              <w:rPr>
                <w:rFonts w:eastAsia="Times New Roman" w:cs="Times New Roman"/>
                <w:szCs w:val="24"/>
                <w:lang w:val="en-GB" w:eastAsia="en-GB"/>
              </w:rPr>
            </w:pPr>
            <w:r w:rsidRPr="0064313C">
              <w:rPr>
                <w:rFonts w:eastAsia="Times New Roman" w:cs="Times New Roman"/>
                <w:szCs w:val="24"/>
                <w:lang w:val="en-GB" w:eastAsia="en-GB"/>
              </w:rPr>
              <w:t>0</w:t>
            </w:r>
          </w:p>
        </w:tc>
        <w:tc>
          <w:tcPr>
            <w:tcW w:w="656" w:type="dxa"/>
            <w:noWrap/>
            <w:hideMark/>
          </w:tcPr>
          <w:p w14:paraId="71E8BB1D" w14:textId="77777777" w:rsidR="0051434C" w:rsidRPr="0064313C" w:rsidRDefault="0051434C" w:rsidP="00711065">
            <w:pPr>
              <w:jc w:val="right"/>
              <w:rPr>
                <w:rFonts w:eastAsia="Times New Roman" w:cs="Times New Roman"/>
                <w:szCs w:val="24"/>
                <w:lang w:val="en-GB" w:eastAsia="en-GB"/>
              </w:rPr>
            </w:pPr>
            <w:r w:rsidRPr="0064313C">
              <w:rPr>
                <w:rFonts w:eastAsia="Times New Roman" w:cs="Times New Roman"/>
                <w:szCs w:val="24"/>
                <w:lang w:val="en-GB" w:eastAsia="en-GB"/>
              </w:rPr>
              <w:t>0</w:t>
            </w:r>
          </w:p>
        </w:tc>
        <w:tc>
          <w:tcPr>
            <w:tcW w:w="656" w:type="dxa"/>
            <w:noWrap/>
            <w:hideMark/>
          </w:tcPr>
          <w:p w14:paraId="085F3C80" w14:textId="77777777" w:rsidR="0051434C" w:rsidRPr="0064313C" w:rsidRDefault="0051434C" w:rsidP="00711065">
            <w:pPr>
              <w:jc w:val="right"/>
              <w:rPr>
                <w:rFonts w:eastAsia="Times New Roman" w:cs="Times New Roman"/>
                <w:szCs w:val="24"/>
                <w:lang w:val="en-GB" w:eastAsia="en-GB"/>
              </w:rPr>
            </w:pPr>
            <w:r w:rsidRPr="0064313C">
              <w:rPr>
                <w:rFonts w:eastAsia="Times New Roman" w:cs="Times New Roman"/>
                <w:szCs w:val="24"/>
                <w:lang w:val="en-GB" w:eastAsia="en-GB"/>
              </w:rPr>
              <w:t>1</w:t>
            </w:r>
          </w:p>
        </w:tc>
        <w:tc>
          <w:tcPr>
            <w:tcW w:w="656" w:type="dxa"/>
            <w:noWrap/>
            <w:hideMark/>
          </w:tcPr>
          <w:p w14:paraId="48A0C2CE" w14:textId="77777777" w:rsidR="0051434C" w:rsidRPr="0064313C" w:rsidRDefault="0051434C" w:rsidP="00711065">
            <w:pPr>
              <w:jc w:val="right"/>
              <w:rPr>
                <w:rFonts w:eastAsia="Times New Roman" w:cs="Times New Roman"/>
                <w:szCs w:val="24"/>
                <w:lang w:val="en-GB" w:eastAsia="en-GB"/>
              </w:rPr>
            </w:pPr>
            <w:r w:rsidRPr="0064313C">
              <w:rPr>
                <w:rFonts w:eastAsia="Times New Roman" w:cs="Times New Roman"/>
                <w:szCs w:val="24"/>
                <w:lang w:val="en-GB" w:eastAsia="en-GB"/>
              </w:rPr>
              <w:t>1</w:t>
            </w:r>
          </w:p>
        </w:tc>
        <w:tc>
          <w:tcPr>
            <w:tcW w:w="656" w:type="dxa"/>
            <w:noWrap/>
            <w:hideMark/>
          </w:tcPr>
          <w:p w14:paraId="5A5E3D8A" w14:textId="77777777" w:rsidR="0051434C" w:rsidRPr="0064313C" w:rsidRDefault="0051434C" w:rsidP="00711065">
            <w:pPr>
              <w:jc w:val="right"/>
              <w:rPr>
                <w:rFonts w:eastAsia="Times New Roman" w:cs="Times New Roman"/>
                <w:szCs w:val="24"/>
                <w:lang w:val="en-GB" w:eastAsia="en-GB"/>
              </w:rPr>
            </w:pPr>
            <w:r w:rsidRPr="0064313C">
              <w:rPr>
                <w:rFonts w:eastAsia="Times New Roman" w:cs="Times New Roman"/>
                <w:szCs w:val="24"/>
                <w:lang w:val="en-GB" w:eastAsia="en-GB"/>
              </w:rPr>
              <w:t>1</w:t>
            </w:r>
          </w:p>
        </w:tc>
        <w:tc>
          <w:tcPr>
            <w:tcW w:w="656" w:type="dxa"/>
            <w:noWrap/>
            <w:hideMark/>
          </w:tcPr>
          <w:p w14:paraId="6C6BB5C4" w14:textId="77777777" w:rsidR="0051434C" w:rsidRPr="0064313C" w:rsidRDefault="0051434C" w:rsidP="00711065">
            <w:pPr>
              <w:jc w:val="right"/>
              <w:rPr>
                <w:rFonts w:eastAsia="Times New Roman" w:cs="Times New Roman"/>
                <w:szCs w:val="24"/>
                <w:lang w:val="en-GB" w:eastAsia="en-GB"/>
              </w:rPr>
            </w:pPr>
            <w:r w:rsidRPr="0064313C">
              <w:rPr>
                <w:rFonts w:eastAsia="Times New Roman" w:cs="Times New Roman"/>
                <w:szCs w:val="24"/>
                <w:lang w:val="en-GB" w:eastAsia="en-GB"/>
              </w:rPr>
              <w:t>3</w:t>
            </w:r>
          </w:p>
        </w:tc>
        <w:tc>
          <w:tcPr>
            <w:tcW w:w="763" w:type="dxa"/>
            <w:noWrap/>
            <w:hideMark/>
          </w:tcPr>
          <w:p w14:paraId="7B2909D9" w14:textId="77777777" w:rsidR="0051434C" w:rsidRPr="0064313C" w:rsidRDefault="0051434C" w:rsidP="00711065">
            <w:pPr>
              <w:jc w:val="right"/>
              <w:rPr>
                <w:rFonts w:eastAsia="Times New Roman" w:cs="Times New Roman"/>
                <w:szCs w:val="24"/>
                <w:lang w:val="en-GB" w:eastAsia="en-GB"/>
              </w:rPr>
            </w:pPr>
            <w:r w:rsidRPr="0064313C">
              <w:rPr>
                <w:rFonts w:eastAsia="Times New Roman" w:cs="Times New Roman"/>
                <w:szCs w:val="24"/>
                <w:lang w:val="en-GB" w:eastAsia="en-GB"/>
              </w:rPr>
              <w:t>0.6</w:t>
            </w:r>
          </w:p>
        </w:tc>
        <w:tc>
          <w:tcPr>
            <w:tcW w:w="981" w:type="dxa"/>
            <w:noWrap/>
            <w:hideMark/>
          </w:tcPr>
          <w:p w14:paraId="706BCE87" w14:textId="77777777" w:rsidR="0051434C" w:rsidRPr="0064313C" w:rsidRDefault="0051434C" w:rsidP="00711065">
            <w:pPr>
              <w:jc w:val="right"/>
              <w:rPr>
                <w:rFonts w:eastAsia="Times New Roman" w:cs="Times New Roman"/>
                <w:szCs w:val="24"/>
                <w:lang w:val="en-GB" w:eastAsia="en-GB"/>
              </w:rPr>
            </w:pPr>
            <w:r w:rsidRPr="0064313C">
              <w:rPr>
                <w:rFonts w:eastAsia="Times New Roman" w:cs="Times New Roman"/>
                <w:szCs w:val="24"/>
                <w:lang w:val="en-GB" w:eastAsia="en-GB"/>
              </w:rPr>
              <w:t>10</w:t>
            </w:r>
          </w:p>
        </w:tc>
        <w:tc>
          <w:tcPr>
            <w:tcW w:w="576" w:type="dxa"/>
            <w:noWrap/>
            <w:hideMark/>
          </w:tcPr>
          <w:p w14:paraId="72DF0541" w14:textId="77777777" w:rsidR="0051434C" w:rsidRPr="0064313C" w:rsidRDefault="0051434C" w:rsidP="00711065">
            <w:pPr>
              <w:jc w:val="right"/>
              <w:rPr>
                <w:rFonts w:eastAsia="Times New Roman" w:cs="Times New Roman"/>
                <w:szCs w:val="24"/>
                <w:lang w:val="en-GB" w:eastAsia="en-GB"/>
              </w:rPr>
            </w:pPr>
            <w:r w:rsidRPr="0064313C">
              <w:rPr>
                <w:rFonts w:eastAsia="Times New Roman" w:cs="Times New Roman"/>
                <w:szCs w:val="24"/>
                <w:lang w:val="en-GB" w:eastAsia="en-GB"/>
              </w:rPr>
              <w:t>3</w:t>
            </w:r>
          </w:p>
        </w:tc>
        <w:tc>
          <w:tcPr>
            <w:tcW w:w="744" w:type="dxa"/>
            <w:noWrap/>
            <w:hideMark/>
          </w:tcPr>
          <w:p w14:paraId="70D98453" w14:textId="77777777" w:rsidR="0051434C" w:rsidRPr="0064313C" w:rsidRDefault="0051434C" w:rsidP="00711065">
            <w:pPr>
              <w:jc w:val="right"/>
              <w:rPr>
                <w:rFonts w:eastAsia="Times New Roman" w:cs="Times New Roman"/>
                <w:szCs w:val="24"/>
                <w:lang w:val="en-GB" w:eastAsia="en-GB"/>
              </w:rPr>
            </w:pPr>
            <w:r w:rsidRPr="0064313C">
              <w:rPr>
                <w:rFonts w:eastAsia="Times New Roman" w:cs="Times New Roman"/>
                <w:szCs w:val="24"/>
                <w:lang w:val="en-GB" w:eastAsia="en-GB"/>
              </w:rPr>
              <w:t>0</w:t>
            </w:r>
          </w:p>
        </w:tc>
        <w:tc>
          <w:tcPr>
            <w:tcW w:w="576" w:type="dxa"/>
            <w:noWrap/>
            <w:hideMark/>
          </w:tcPr>
          <w:p w14:paraId="63B64BC7" w14:textId="77777777" w:rsidR="0051434C" w:rsidRPr="0064313C" w:rsidRDefault="0051434C" w:rsidP="00711065">
            <w:pPr>
              <w:jc w:val="right"/>
              <w:rPr>
                <w:rFonts w:eastAsia="Times New Roman" w:cs="Times New Roman"/>
                <w:szCs w:val="24"/>
                <w:lang w:val="en-GB" w:eastAsia="en-GB"/>
              </w:rPr>
            </w:pPr>
            <w:r w:rsidRPr="0064313C">
              <w:rPr>
                <w:rFonts w:eastAsia="Times New Roman" w:cs="Times New Roman"/>
                <w:szCs w:val="24"/>
                <w:lang w:val="en-GB" w:eastAsia="en-GB"/>
              </w:rPr>
              <w:t>0</w:t>
            </w:r>
          </w:p>
        </w:tc>
        <w:tc>
          <w:tcPr>
            <w:tcW w:w="981" w:type="dxa"/>
            <w:noWrap/>
            <w:hideMark/>
          </w:tcPr>
          <w:p w14:paraId="6385F339" w14:textId="77777777" w:rsidR="0051434C" w:rsidRPr="0064313C" w:rsidRDefault="0051434C" w:rsidP="00711065">
            <w:pPr>
              <w:jc w:val="right"/>
              <w:rPr>
                <w:rFonts w:eastAsia="Times New Roman" w:cs="Times New Roman"/>
                <w:szCs w:val="24"/>
                <w:lang w:val="en-GB" w:eastAsia="en-GB"/>
              </w:rPr>
            </w:pPr>
            <w:r w:rsidRPr="0064313C">
              <w:rPr>
                <w:rFonts w:eastAsia="Times New Roman" w:cs="Times New Roman"/>
                <w:szCs w:val="24"/>
                <w:lang w:val="en-GB" w:eastAsia="en-GB"/>
              </w:rPr>
              <w:t>0</w:t>
            </w:r>
          </w:p>
        </w:tc>
      </w:tr>
    </w:tbl>
    <w:p w14:paraId="76A4F0C2" w14:textId="77777777" w:rsidR="0051434C" w:rsidRPr="00DE58AD" w:rsidRDefault="0051434C" w:rsidP="0051434C"/>
    <w:bookmarkEnd w:id="8"/>
    <w:p w14:paraId="17520A18" w14:textId="4159FD68" w:rsidR="00DE58AD" w:rsidRPr="00DE58AD" w:rsidRDefault="0051434C" w:rsidP="00711065">
      <w:pPr>
        <w:spacing w:line="480" w:lineRule="auto"/>
        <w:ind w:firstLine="720"/>
      </w:pPr>
      <w:r w:rsidRPr="00DE58AD">
        <w:t>The Ontario, Canada established guidelines are for the exposure limitation of pollutants and protection of human health through the major decisions taken for the outdoor air pollution reduction (Wheeler et al., 2011). The long-term trends (year-to-year) in the Canada air quality was assessed for the SO2, O3 and Fine particulate matter that shows that the average concentration for these air pollutants is decreasing with time especially in 2020 due to Covid19 and restricted human activity (Adams, 2020). Moreover, the Air Quality in Ontario Report (2016) demonstrates that the quality of air in Ontario has improved with a decrease in these harmful pollutants because in recent years Canada has implemented measures that helps in controlling the air quality of certain areas. For instance, Ontario has strict regulation on automobiles that emit these pollutants into the air, the release of gases because of nearby industries is monitored and these factories and industries have to make sure that they mitigate any pollution coming from their activities, otherwise they have to adopt practices that are environment friendly. Ontario keeps a strict check on the CSR score and rating of companies, Corporate social responsibility is a newly developed business model that helps organization structure their activities according to these development goals. Organizations need to be socially responsible and make sure that they give something back to the society in order to attain a sustainable society (</w:t>
      </w:r>
      <w:proofErr w:type="spellStart"/>
      <w:r w:rsidRPr="00DE58AD">
        <w:t>Deguen</w:t>
      </w:r>
      <w:proofErr w:type="spellEnd"/>
      <w:r w:rsidRPr="00DE58AD">
        <w:t xml:space="preserve"> et al., 2018). The companies that have good CSR score and ranking are liked by the people and their products as well as services are more purchased </w:t>
      </w:r>
      <w:r w:rsidRPr="00DE58AD">
        <w:lastRenderedPageBreak/>
        <w:t>by the people. The guidance document is remarkable as it focuses on health effects through these air pollutants, air quality emissions, interventions and policies for the clean air (Craig et al., 2008).</w:t>
      </w:r>
    </w:p>
    <w:p w14:paraId="73EEF208" w14:textId="77777777" w:rsidR="00DE58AD" w:rsidRPr="00DE58AD" w:rsidRDefault="00DE58AD" w:rsidP="00E36244">
      <w:pPr>
        <w:pStyle w:val="Heading1"/>
      </w:pPr>
      <w:bookmarkStart w:id="9" w:name="_Toc57341047"/>
      <w:bookmarkStart w:id="10" w:name="_Toc57522001"/>
      <w:r w:rsidRPr="00DE58AD">
        <w:t>Effect of sunlight on the levels of air pollutants</w:t>
      </w:r>
      <w:bookmarkEnd w:id="10"/>
      <w:r w:rsidRPr="00DE58AD">
        <w:t xml:space="preserve"> </w:t>
      </w:r>
      <w:bookmarkEnd w:id="9"/>
    </w:p>
    <w:p w14:paraId="30C80CDA" w14:textId="77777777" w:rsidR="00DE58AD" w:rsidRPr="00DE58AD" w:rsidRDefault="00DE58AD" w:rsidP="00711065">
      <w:pPr>
        <w:spacing w:line="480" w:lineRule="auto"/>
        <w:ind w:firstLine="720"/>
      </w:pPr>
      <w:r w:rsidRPr="00DE58AD">
        <w:t xml:space="preserve">The air pollutants such as particulate matters, sulfur dioxide and ozone are affected by sunlight directly or indirectly. For instance, it is reported by Sharma et al., (2018) that the ozone level in summers is comparatively higher as the sunlight elevates the level of ozone in air. The particulates matters and oxides of sulfur are the major source and cause of the formation of ground level ozone. The reason is the chemical reactions which takes place in the presence of sunlight creates the ozone (Figure 2).  In Canada, the summers are the main emitter season of ozone when it is at highest levels as stated by Ramos et al., (2018). Moreover, it is revealed that sulfur dioxide in the presence of sunlight act as a precursor of volcanic smog and thus harm climate (Hildebrandt, 2013). The solar radiations elevates the level of sulfur dioxide in atmosphere that is hazardous for human health whereas as per Wu et al., (2020), the sunlight lowers the concentration of sulfur dioxide as assessed in the rainy season of Beijing when the solar radiations decreased the level of SO2. In addition to it, it is revealed by Wang et al., (2019) that the sunlight protective covering is affected by the presence of PM2.5 higher concentration. However, Hameed, Mohammed &amp; Jawad, (2020) reported that sunlight helps in the reduction of PM from the atmosphere.  </w:t>
      </w:r>
    </w:p>
    <w:p w14:paraId="05A1C910" w14:textId="77777777" w:rsidR="00DE58AD" w:rsidRPr="00DE58AD" w:rsidRDefault="00DE58AD" w:rsidP="00711065">
      <w:pPr>
        <w:spacing w:line="480" w:lineRule="auto"/>
        <w:ind w:firstLine="720"/>
      </w:pPr>
      <w:r w:rsidRPr="00DE58AD">
        <w:rPr>
          <w:noProof/>
        </w:rPr>
        <w:lastRenderedPageBreak/>
        <w:drawing>
          <wp:inline distT="0" distB="0" distL="0" distR="0" wp14:anchorId="7FC484ED" wp14:editId="235E06A4">
            <wp:extent cx="4615200" cy="289320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3238" t="12543" r="15224" b="18758"/>
                    <a:stretch>
                      <a:fillRect/>
                    </a:stretch>
                  </pic:blipFill>
                  <pic:spPr bwMode="auto">
                    <a:xfrm>
                      <a:off x="0" y="0"/>
                      <a:ext cx="4615200" cy="2893205"/>
                    </a:xfrm>
                    <a:prstGeom prst="rect">
                      <a:avLst/>
                    </a:prstGeom>
                    <a:noFill/>
                    <a:ln>
                      <a:noFill/>
                    </a:ln>
                  </pic:spPr>
                </pic:pic>
              </a:graphicData>
            </a:graphic>
          </wp:inline>
        </w:drawing>
      </w:r>
      <w:r w:rsidRPr="00DE58AD">
        <w:t xml:space="preserve"> </w:t>
      </w:r>
    </w:p>
    <w:p w14:paraId="2AAB1154" w14:textId="77777777" w:rsidR="00DE58AD" w:rsidRPr="00DE58AD" w:rsidRDefault="00DE58AD" w:rsidP="00711065">
      <w:pPr>
        <w:spacing w:line="480" w:lineRule="auto"/>
        <w:ind w:firstLine="720"/>
      </w:pPr>
      <w:r w:rsidRPr="00DE58AD">
        <w:t>Figure 2. Reaction of ozone formation in the presence of sunlight (Chandler, 2018)</w:t>
      </w:r>
    </w:p>
    <w:p w14:paraId="189E9F22" w14:textId="41DE0A34" w:rsidR="00C230E2" w:rsidRPr="00CA3D66" w:rsidRDefault="00C230E2" w:rsidP="00E36244">
      <w:pPr>
        <w:pStyle w:val="Heading1"/>
      </w:pPr>
      <w:bookmarkStart w:id="11" w:name="_Toc57341048"/>
      <w:bookmarkStart w:id="12" w:name="_Toc57522002"/>
      <w:r>
        <w:t>A</w:t>
      </w:r>
      <w:r w:rsidRPr="00CA3D66">
        <w:t xml:space="preserve">ir quality standards set for </w:t>
      </w:r>
      <w:bookmarkStart w:id="13" w:name="_Hlk57512149"/>
      <w:r w:rsidRPr="00CA3D66">
        <w:t>1 hour, 8 hours, 24 hours and 1 year exposures</w:t>
      </w:r>
      <w:bookmarkEnd w:id="11"/>
      <w:bookmarkEnd w:id="12"/>
      <w:bookmarkEnd w:id="13"/>
    </w:p>
    <w:p w14:paraId="184B9ECA" w14:textId="77777777" w:rsidR="00C230E2" w:rsidRPr="00CA3D66" w:rsidRDefault="00C230E2" w:rsidP="00711065">
      <w:pPr>
        <w:spacing w:line="480" w:lineRule="auto"/>
        <w:ind w:firstLine="720"/>
        <w:rPr>
          <w:rFonts w:cs="Times New Roman"/>
        </w:rPr>
      </w:pPr>
      <w:r w:rsidRPr="00CA3D66">
        <w:rPr>
          <w:rFonts w:cs="Times New Roman"/>
        </w:rPr>
        <w:t>The air quality standards are recognized based on the criteria set for the required air quality keeping in view the technological and economic considerations and especially the welfare and health of public. Through these standards, the emissions reduction levels are recognized through jurisdictions and policy makers judgments (Bachmann, 2007). Air quality standards are set on the basis of hourly monitoring data for the 1 hour, 8 hours, 24 hours and 1 year exposures to air pollutants (Bell &amp; Ellis, 2003).</w:t>
      </w:r>
      <w:r>
        <w:rPr>
          <w:rFonts w:cs="Times New Roman"/>
        </w:rPr>
        <w:t xml:space="preserve"> The set criteria is divided in different time measurements as these pollutants levels are different in varying conditions and time, thus, for </w:t>
      </w:r>
      <w:r w:rsidRPr="00CA3D66">
        <w:rPr>
          <w:rFonts w:cs="Times New Roman"/>
        </w:rPr>
        <w:t xml:space="preserve">determining the concentration level for </w:t>
      </w:r>
      <w:r>
        <w:rPr>
          <w:rFonts w:cs="Times New Roman"/>
        </w:rPr>
        <w:t xml:space="preserve">SO2, O3 and fine particulate matter, </w:t>
      </w:r>
      <w:r w:rsidRPr="00CA3D66">
        <w:rPr>
          <w:rFonts w:cs="Times New Roman"/>
        </w:rPr>
        <w:t xml:space="preserve">certain time </w:t>
      </w:r>
      <w:r>
        <w:rPr>
          <w:rFonts w:cs="Times New Roman"/>
        </w:rPr>
        <w:t xml:space="preserve">criteria is preferred for </w:t>
      </w:r>
      <w:r w:rsidRPr="00CA3D66">
        <w:rPr>
          <w:rFonts w:cs="Times New Roman"/>
        </w:rPr>
        <w:t>accurate results.</w:t>
      </w:r>
      <w:r>
        <w:rPr>
          <w:rFonts w:cs="Times New Roman"/>
        </w:rPr>
        <w:t xml:space="preserve"> The average time is set for</w:t>
      </w:r>
      <w:r w:rsidRPr="006924AA">
        <w:rPr>
          <w:rFonts w:cs="Times New Roman"/>
        </w:rPr>
        <w:t xml:space="preserve"> each country</w:t>
      </w:r>
      <w:r>
        <w:rPr>
          <w:rFonts w:cs="Times New Roman"/>
        </w:rPr>
        <w:t xml:space="preserve"> with </w:t>
      </w:r>
      <w:r w:rsidRPr="006924AA">
        <w:rPr>
          <w:rFonts w:cs="Times New Roman"/>
        </w:rPr>
        <w:t>ambient air quality standards</w:t>
      </w:r>
      <w:r>
        <w:rPr>
          <w:rFonts w:cs="Times New Roman"/>
        </w:rPr>
        <w:t xml:space="preserve"> set for pollutants such as </w:t>
      </w:r>
      <w:r w:rsidRPr="006924AA">
        <w:rPr>
          <w:rFonts w:cs="Times New Roman"/>
        </w:rPr>
        <w:t>PM2.5</w:t>
      </w:r>
      <w:r>
        <w:rPr>
          <w:rFonts w:cs="Times New Roman"/>
        </w:rPr>
        <w:t xml:space="preserve"> with </w:t>
      </w:r>
      <w:r w:rsidRPr="006924AA">
        <w:rPr>
          <w:rFonts w:cs="Times New Roman"/>
        </w:rPr>
        <w:t>24-h a</w:t>
      </w:r>
      <w:r>
        <w:rPr>
          <w:rFonts w:cs="Times New Roman"/>
        </w:rPr>
        <w:t>s well as an</w:t>
      </w:r>
      <w:r w:rsidRPr="006924AA">
        <w:rPr>
          <w:rFonts w:cs="Times New Roman"/>
        </w:rPr>
        <w:t xml:space="preserve"> annual</w:t>
      </w:r>
      <w:r>
        <w:rPr>
          <w:rFonts w:cs="Times New Roman"/>
        </w:rPr>
        <w:t xml:space="preserve">, ozone with </w:t>
      </w:r>
      <w:r w:rsidRPr="006924AA">
        <w:rPr>
          <w:rFonts w:cs="Times New Roman"/>
        </w:rPr>
        <w:t>1-h mean</w:t>
      </w:r>
      <w:r>
        <w:rPr>
          <w:rFonts w:cs="Times New Roman"/>
        </w:rPr>
        <w:t xml:space="preserve"> as well as </w:t>
      </w:r>
      <w:r w:rsidRPr="006924AA">
        <w:rPr>
          <w:rFonts w:cs="Times New Roman"/>
        </w:rPr>
        <w:t>8</w:t>
      </w:r>
      <w:r>
        <w:rPr>
          <w:rFonts w:cs="Times New Roman"/>
        </w:rPr>
        <w:t xml:space="preserve"> </w:t>
      </w:r>
      <w:r w:rsidRPr="006924AA">
        <w:rPr>
          <w:rFonts w:cs="Times New Roman"/>
        </w:rPr>
        <w:t>h average</w:t>
      </w:r>
      <w:r>
        <w:rPr>
          <w:rFonts w:cs="Times New Roman"/>
        </w:rPr>
        <w:t xml:space="preserve"> and sulfur dioxide with </w:t>
      </w:r>
      <w:r w:rsidRPr="006924AA">
        <w:rPr>
          <w:rFonts w:cs="Times New Roman"/>
        </w:rPr>
        <w:t>10</w:t>
      </w:r>
      <w:r>
        <w:rPr>
          <w:rFonts w:cs="Times New Roman"/>
        </w:rPr>
        <w:t xml:space="preserve"> </w:t>
      </w:r>
      <w:r w:rsidRPr="006924AA">
        <w:rPr>
          <w:rFonts w:cs="Times New Roman"/>
        </w:rPr>
        <w:t>min</w:t>
      </w:r>
      <w:r>
        <w:rPr>
          <w:rFonts w:cs="Times New Roman"/>
        </w:rPr>
        <w:t>utes</w:t>
      </w:r>
      <w:r w:rsidRPr="006924AA">
        <w:rPr>
          <w:rFonts w:cs="Times New Roman"/>
        </w:rPr>
        <w:t>,</w:t>
      </w:r>
      <w:r>
        <w:rPr>
          <w:rFonts w:cs="Times New Roman"/>
        </w:rPr>
        <w:t xml:space="preserve"> </w:t>
      </w:r>
      <w:r w:rsidRPr="006924AA">
        <w:rPr>
          <w:rFonts w:cs="Times New Roman"/>
        </w:rPr>
        <w:t>24</w:t>
      </w:r>
      <w:r>
        <w:rPr>
          <w:rFonts w:cs="Times New Roman"/>
        </w:rPr>
        <w:t xml:space="preserve"> </w:t>
      </w:r>
      <w:r w:rsidRPr="006924AA">
        <w:rPr>
          <w:rFonts w:cs="Times New Roman"/>
        </w:rPr>
        <w:t>h</w:t>
      </w:r>
      <w:r>
        <w:rPr>
          <w:rFonts w:cs="Times New Roman"/>
        </w:rPr>
        <w:t>ours</w:t>
      </w:r>
      <w:r w:rsidRPr="006924AA">
        <w:rPr>
          <w:rFonts w:cs="Times New Roman"/>
        </w:rPr>
        <w:t xml:space="preserve"> and annual average</w:t>
      </w:r>
      <w:r>
        <w:rPr>
          <w:rFonts w:cs="Times New Roman"/>
        </w:rPr>
        <w:t xml:space="preserve"> for evaluating the exposure and to keep environment and living beings safe </w:t>
      </w:r>
      <w:r w:rsidRPr="00A00C7B">
        <w:rPr>
          <w:rFonts w:cs="Times New Roman"/>
        </w:rPr>
        <w:t>(</w:t>
      </w:r>
      <w:proofErr w:type="spellStart"/>
      <w:r w:rsidRPr="00A00C7B">
        <w:rPr>
          <w:rFonts w:cs="Times New Roman"/>
        </w:rPr>
        <w:t>Vahlsing</w:t>
      </w:r>
      <w:proofErr w:type="spellEnd"/>
      <w:r w:rsidRPr="00A00C7B">
        <w:rPr>
          <w:rFonts w:cs="Times New Roman"/>
        </w:rPr>
        <w:t xml:space="preserve"> &amp; Smith, 2011)</w:t>
      </w:r>
      <w:r>
        <w:rPr>
          <w:rFonts w:cs="Times New Roman"/>
        </w:rPr>
        <w:t>.</w:t>
      </w:r>
    </w:p>
    <w:p w14:paraId="7D608A57" w14:textId="77777777" w:rsidR="00C230E2" w:rsidRPr="00CA3D66" w:rsidRDefault="00C230E2" w:rsidP="00124BC6">
      <w:pPr>
        <w:rPr>
          <w:rFonts w:cs="Times New Roman"/>
        </w:rPr>
      </w:pPr>
      <w:r>
        <w:rPr>
          <w:rFonts w:cs="Times New Roman"/>
        </w:rPr>
        <w:lastRenderedPageBreak/>
        <w:t xml:space="preserve">Table 3. Air quality standards on hourly basis </w:t>
      </w:r>
      <w:r w:rsidRPr="00CA3D66">
        <w:rPr>
          <w:rFonts w:cs="Times New Roman"/>
        </w:rPr>
        <w:t>(United States Environmental Protection Agency, 2016)</w:t>
      </w:r>
    </w:p>
    <w:tbl>
      <w:tblPr>
        <w:tblStyle w:val="GridTable1Light-Accent5"/>
        <w:tblW w:w="0" w:type="auto"/>
        <w:tblLook w:val="04A0" w:firstRow="1" w:lastRow="0" w:firstColumn="1" w:lastColumn="0" w:noHBand="0" w:noVBand="1"/>
      </w:tblPr>
      <w:tblGrid>
        <w:gridCol w:w="1635"/>
        <w:gridCol w:w="853"/>
        <w:gridCol w:w="1315"/>
        <w:gridCol w:w="1397"/>
        <w:gridCol w:w="891"/>
        <w:gridCol w:w="2925"/>
      </w:tblGrid>
      <w:tr w:rsidR="00C230E2" w:rsidRPr="00CA3D66" w14:paraId="6FA94566" w14:textId="77777777" w:rsidTr="00124BC6">
        <w:trPr>
          <w:cnfStyle w:val="100000000000" w:firstRow="1" w:lastRow="0" w:firstColumn="0" w:lastColumn="0" w:oddVBand="0" w:evenVBand="0" w:oddHBand="0" w:evenHBand="0" w:firstRowFirstColumn="0" w:firstRowLastColumn="0" w:lastRowFirstColumn="0" w:lastRowLastColumn="0"/>
          <w:trHeight w:val="1151"/>
        </w:trPr>
        <w:tc>
          <w:tcPr>
            <w:cnfStyle w:val="001000000000" w:firstRow="0" w:lastRow="0" w:firstColumn="1" w:lastColumn="0" w:oddVBand="0" w:evenVBand="0" w:oddHBand="0" w:evenHBand="0" w:firstRowFirstColumn="0" w:firstRowLastColumn="0" w:lastRowFirstColumn="0" w:lastRowLastColumn="0"/>
            <w:tcW w:w="0" w:type="auto"/>
            <w:gridSpan w:val="2"/>
            <w:hideMark/>
          </w:tcPr>
          <w:p w14:paraId="7BA81BD8" w14:textId="77777777" w:rsidR="00C230E2" w:rsidRPr="00CA3D66" w:rsidRDefault="00C230E2" w:rsidP="00124BC6">
            <w:pPr>
              <w:spacing w:after="160" w:line="240" w:lineRule="auto"/>
              <w:rPr>
                <w:rFonts w:cs="Times New Roman"/>
                <w:szCs w:val="24"/>
                <w:lang w:val="en-GB"/>
              </w:rPr>
            </w:pPr>
            <w:r w:rsidRPr="00CA3D66">
              <w:rPr>
                <w:rFonts w:cs="Times New Roman"/>
                <w:szCs w:val="24"/>
                <w:lang w:val="en-GB"/>
              </w:rPr>
              <w:t>Pollutant</w:t>
            </w:r>
            <w:r w:rsidRPr="00CA3D66">
              <w:rPr>
                <w:rFonts w:cs="Times New Roman"/>
                <w:szCs w:val="24"/>
                <w:lang w:val="en-GB"/>
              </w:rPr>
              <w:br/>
              <w:t>[links to historical tables of NAAQS reviews]</w:t>
            </w:r>
          </w:p>
        </w:tc>
        <w:tc>
          <w:tcPr>
            <w:tcW w:w="0" w:type="auto"/>
            <w:hideMark/>
          </w:tcPr>
          <w:p w14:paraId="7B413190" w14:textId="77777777" w:rsidR="00C230E2" w:rsidRPr="00CA3D66" w:rsidRDefault="00C230E2" w:rsidP="00124BC6">
            <w:pPr>
              <w:spacing w:after="160" w:line="240" w:lineRule="auto"/>
              <w:cnfStyle w:val="100000000000" w:firstRow="1" w:lastRow="0" w:firstColumn="0" w:lastColumn="0" w:oddVBand="0" w:evenVBand="0" w:oddHBand="0" w:evenHBand="0" w:firstRowFirstColumn="0" w:firstRowLastColumn="0" w:lastRowFirstColumn="0" w:lastRowLastColumn="0"/>
              <w:rPr>
                <w:rFonts w:cs="Times New Roman"/>
                <w:szCs w:val="24"/>
                <w:lang w:val="en-GB"/>
              </w:rPr>
            </w:pPr>
            <w:r w:rsidRPr="00CA3D66">
              <w:rPr>
                <w:rFonts w:cs="Times New Roman"/>
                <w:szCs w:val="24"/>
                <w:lang w:val="en-GB"/>
              </w:rPr>
              <w:t>Primary/</w:t>
            </w:r>
            <w:r w:rsidRPr="00CA3D66">
              <w:rPr>
                <w:rFonts w:cs="Times New Roman"/>
                <w:szCs w:val="24"/>
                <w:lang w:val="en-GB"/>
              </w:rPr>
              <w:br/>
              <w:t>Secondary</w:t>
            </w:r>
          </w:p>
        </w:tc>
        <w:tc>
          <w:tcPr>
            <w:tcW w:w="0" w:type="auto"/>
            <w:hideMark/>
          </w:tcPr>
          <w:p w14:paraId="0F176A82" w14:textId="77777777" w:rsidR="00C230E2" w:rsidRPr="00CA3D66" w:rsidRDefault="00C230E2" w:rsidP="00124BC6">
            <w:pPr>
              <w:spacing w:after="160" w:line="240" w:lineRule="auto"/>
              <w:cnfStyle w:val="100000000000" w:firstRow="1" w:lastRow="0" w:firstColumn="0" w:lastColumn="0" w:oddVBand="0" w:evenVBand="0" w:oddHBand="0" w:evenHBand="0" w:firstRowFirstColumn="0" w:firstRowLastColumn="0" w:lastRowFirstColumn="0" w:lastRowLastColumn="0"/>
              <w:rPr>
                <w:rFonts w:cs="Times New Roman"/>
                <w:szCs w:val="24"/>
                <w:lang w:val="en-GB"/>
              </w:rPr>
            </w:pPr>
            <w:r w:rsidRPr="00CA3D66">
              <w:rPr>
                <w:rFonts w:cs="Times New Roman"/>
                <w:szCs w:val="24"/>
                <w:lang w:val="en-GB"/>
              </w:rPr>
              <w:t>Averaging Time</w:t>
            </w:r>
          </w:p>
        </w:tc>
        <w:tc>
          <w:tcPr>
            <w:tcW w:w="0" w:type="auto"/>
            <w:hideMark/>
          </w:tcPr>
          <w:p w14:paraId="105DC72F" w14:textId="77777777" w:rsidR="00C230E2" w:rsidRPr="00CA3D66" w:rsidRDefault="00C230E2" w:rsidP="00124BC6">
            <w:pPr>
              <w:spacing w:after="160" w:line="240" w:lineRule="auto"/>
              <w:cnfStyle w:val="100000000000" w:firstRow="1" w:lastRow="0" w:firstColumn="0" w:lastColumn="0" w:oddVBand="0" w:evenVBand="0" w:oddHBand="0" w:evenHBand="0" w:firstRowFirstColumn="0" w:firstRowLastColumn="0" w:lastRowFirstColumn="0" w:lastRowLastColumn="0"/>
              <w:rPr>
                <w:rFonts w:cs="Times New Roman"/>
                <w:szCs w:val="24"/>
                <w:lang w:val="en-GB"/>
              </w:rPr>
            </w:pPr>
            <w:r w:rsidRPr="00CA3D66">
              <w:rPr>
                <w:rFonts w:cs="Times New Roman"/>
                <w:szCs w:val="24"/>
                <w:lang w:val="en-GB"/>
              </w:rPr>
              <w:t>Level</w:t>
            </w:r>
          </w:p>
        </w:tc>
        <w:tc>
          <w:tcPr>
            <w:tcW w:w="0" w:type="auto"/>
            <w:hideMark/>
          </w:tcPr>
          <w:p w14:paraId="78AF1443" w14:textId="77777777" w:rsidR="00C230E2" w:rsidRPr="00CA3D66" w:rsidRDefault="00C230E2" w:rsidP="00124BC6">
            <w:pPr>
              <w:spacing w:after="160" w:line="240" w:lineRule="auto"/>
              <w:cnfStyle w:val="100000000000" w:firstRow="1" w:lastRow="0" w:firstColumn="0" w:lastColumn="0" w:oddVBand="0" w:evenVBand="0" w:oddHBand="0" w:evenHBand="0" w:firstRowFirstColumn="0" w:firstRowLastColumn="0" w:lastRowFirstColumn="0" w:lastRowLastColumn="0"/>
              <w:rPr>
                <w:rFonts w:cs="Times New Roman"/>
                <w:szCs w:val="24"/>
                <w:lang w:val="en-GB"/>
              </w:rPr>
            </w:pPr>
            <w:r w:rsidRPr="00CA3D66">
              <w:rPr>
                <w:rFonts w:cs="Times New Roman"/>
                <w:szCs w:val="24"/>
                <w:lang w:val="en-GB"/>
              </w:rPr>
              <w:t>Form</w:t>
            </w:r>
          </w:p>
        </w:tc>
      </w:tr>
      <w:tr w:rsidR="00C230E2" w:rsidRPr="00CA3D66" w14:paraId="5C872B40" w14:textId="77777777" w:rsidTr="006151DB">
        <w:tc>
          <w:tcPr>
            <w:cnfStyle w:val="001000000000" w:firstRow="0" w:lastRow="0" w:firstColumn="1" w:lastColumn="0" w:oddVBand="0" w:evenVBand="0" w:oddHBand="0" w:evenHBand="0" w:firstRowFirstColumn="0" w:firstRowLastColumn="0" w:lastRowFirstColumn="0" w:lastRowLastColumn="0"/>
            <w:tcW w:w="0" w:type="auto"/>
            <w:gridSpan w:val="2"/>
            <w:hideMark/>
          </w:tcPr>
          <w:p w14:paraId="4BD84C05" w14:textId="77777777" w:rsidR="00C230E2" w:rsidRPr="00CA3D66" w:rsidRDefault="00C230E2" w:rsidP="00124BC6">
            <w:pPr>
              <w:spacing w:after="160" w:line="240" w:lineRule="auto"/>
              <w:rPr>
                <w:rFonts w:cs="Times New Roman"/>
                <w:szCs w:val="24"/>
                <w:lang w:val="en-GB"/>
              </w:rPr>
            </w:pPr>
            <w:r w:rsidRPr="00CA3D66">
              <w:rPr>
                <w:rFonts w:cs="Times New Roman"/>
                <w:szCs w:val="24"/>
                <w:lang w:val="en-GB"/>
              </w:rPr>
              <w:t>Ozone (O3)</w:t>
            </w:r>
          </w:p>
        </w:tc>
        <w:tc>
          <w:tcPr>
            <w:tcW w:w="0" w:type="auto"/>
            <w:hideMark/>
          </w:tcPr>
          <w:p w14:paraId="43E9404C" w14:textId="77777777" w:rsidR="00C230E2" w:rsidRPr="00CA3D66" w:rsidRDefault="00C230E2" w:rsidP="00124BC6">
            <w:pPr>
              <w:spacing w:after="160" w:line="240" w:lineRule="auto"/>
              <w:cnfStyle w:val="000000000000" w:firstRow="0" w:lastRow="0" w:firstColumn="0" w:lastColumn="0" w:oddVBand="0" w:evenVBand="0" w:oddHBand="0" w:evenHBand="0" w:firstRowFirstColumn="0" w:firstRowLastColumn="0" w:lastRowFirstColumn="0" w:lastRowLastColumn="0"/>
              <w:rPr>
                <w:rFonts w:cs="Times New Roman"/>
                <w:szCs w:val="24"/>
                <w:lang w:val="en-GB"/>
              </w:rPr>
            </w:pPr>
            <w:r>
              <w:rPr>
                <w:rFonts w:cs="Times New Roman"/>
                <w:szCs w:val="24"/>
                <w:lang w:val="en-GB"/>
              </w:rPr>
              <w:t>P</w:t>
            </w:r>
            <w:r w:rsidRPr="00CA3D66">
              <w:rPr>
                <w:rFonts w:cs="Times New Roman"/>
                <w:szCs w:val="24"/>
                <w:lang w:val="en-GB"/>
              </w:rPr>
              <w:t>rimary and</w:t>
            </w:r>
            <w:r w:rsidRPr="00CA3D66">
              <w:rPr>
                <w:rFonts w:cs="Times New Roman"/>
                <w:szCs w:val="24"/>
                <w:lang w:val="en-GB"/>
              </w:rPr>
              <w:br/>
              <w:t>secondary</w:t>
            </w:r>
          </w:p>
        </w:tc>
        <w:tc>
          <w:tcPr>
            <w:tcW w:w="0" w:type="auto"/>
            <w:hideMark/>
          </w:tcPr>
          <w:p w14:paraId="66546D56" w14:textId="77777777" w:rsidR="00C230E2" w:rsidRPr="00CA3D66" w:rsidRDefault="00C230E2" w:rsidP="00124BC6">
            <w:pPr>
              <w:spacing w:after="160" w:line="240" w:lineRule="auto"/>
              <w:cnfStyle w:val="000000000000" w:firstRow="0" w:lastRow="0" w:firstColumn="0" w:lastColumn="0" w:oddVBand="0" w:evenVBand="0" w:oddHBand="0" w:evenHBand="0" w:firstRowFirstColumn="0" w:firstRowLastColumn="0" w:lastRowFirstColumn="0" w:lastRowLastColumn="0"/>
              <w:rPr>
                <w:rFonts w:cs="Times New Roman"/>
                <w:szCs w:val="24"/>
                <w:lang w:val="en-GB"/>
              </w:rPr>
            </w:pPr>
            <w:r w:rsidRPr="00CA3D66">
              <w:rPr>
                <w:rFonts w:cs="Times New Roman"/>
                <w:szCs w:val="24"/>
                <w:lang w:val="en-GB"/>
              </w:rPr>
              <w:t>8 hours</w:t>
            </w:r>
          </w:p>
        </w:tc>
        <w:tc>
          <w:tcPr>
            <w:tcW w:w="0" w:type="auto"/>
            <w:hideMark/>
          </w:tcPr>
          <w:p w14:paraId="4FF37241" w14:textId="77777777" w:rsidR="00C230E2" w:rsidRPr="00CA3D66" w:rsidRDefault="00C230E2" w:rsidP="00124BC6">
            <w:pPr>
              <w:spacing w:after="160" w:line="240" w:lineRule="auto"/>
              <w:cnfStyle w:val="000000000000" w:firstRow="0" w:lastRow="0" w:firstColumn="0" w:lastColumn="0" w:oddVBand="0" w:evenVBand="0" w:oddHBand="0" w:evenHBand="0" w:firstRowFirstColumn="0" w:firstRowLastColumn="0" w:lastRowFirstColumn="0" w:lastRowLastColumn="0"/>
              <w:rPr>
                <w:rFonts w:cs="Times New Roman"/>
                <w:szCs w:val="24"/>
                <w:lang w:val="en-GB"/>
              </w:rPr>
            </w:pPr>
            <w:r w:rsidRPr="00CA3D66">
              <w:rPr>
                <w:rFonts w:cs="Times New Roman"/>
                <w:szCs w:val="24"/>
                <w:lang w:val="en-GB"/>
              </w:rPr>
              <w:t>0.070 ppm</w:t>
            </w:r>
          </w:p>
        </w:tc>
        <w:tc>
          <w:tcPr>
            <w:tcW w:w="0" w:type="auto"/>
            <w:hideMark/>
          </w:tcPr>
          <w:p w14:paraId="497304AD" w14:textId="77777777" w:rsidR="00C230E2" w:rsidRPr="00CA3D66" w:rsidRDefault="00C230E2" w:rsidP="00124BC6">
            <w:pPr>
              <w:spacing w:after="160" w:line="240" w:lineRule="auto"/>
              <w:cnfStyle w:val="000000000000" w:firstRow="0" w:lastRow="0" w:firstColumn="0" w:lastColumn="0" w:oddVBand="0" w:evenVBand="0" w:oddHBand="0" w:evenHBand="0" w:firstRowFirstColumn="0" w:firstRowLastColumn="0" w:lastRowFirstColumn="0" w:lastRowLastColumn="0"/>
              <w:rPr>
                <w:rFonts w:cs="Times New Roman"/>
                <w:szCs w:val="24"/>
                <w:lang w:val="en-GB"/>
              </w:rPr>
            </w:pPr>
            <w:r w:rsidRPr="00CA3D66">
              <w:rPr>
                <w:rFonts w:cs="Times New Roman"/>
                <w:szCs w:val="24"/>
                <w:lang w:val="en-GB"/>
              </w:rPr>
              <w:t>Annual fourth-highest daily maximum 8-hour concentration, averaged over 3 years</w:t>
            </w:r>
          </w:p>
        </w:tc>
      </w:tr>
      <w:tr w:rsidR="00C230E2" w:rsidRPr="00CA3D66" w14:paraId="4D8727AF" w14:textId="77777777" w:rsidTr="006151DB">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48931E40" w14:textId="77777777" w:rsidR="00C230E2" w:rsidRPr="00CA3D66" w:rsidRDefault="00C230E2" w:rsidP="00124BC6">
            <w:pPr>
              <w:spacing w:after="160" w:line="240" w:lineRule="auto"/>
              <w:rPr>
                <w:rFonts w:cs="Times New Roman"/>
                <w:szCs w:val="24"/>
                <w:lang w:val="en-GB"/>
              </w:rPr>
            </w:pPr>
            <w:r w:rsidRPr="00CA3D66">
              <w:rPr>
                <w:rFonts w:cs="Times New Roman"/>
                <w:szCs w:val="24"/>
                <w:lang w:val="en-GB"/>
              </w:rPr>
              <w:t>Particle Pollution (PM)</w:t>
            </w:r>
          </w:p>
        </w:tc>
        <w:tc>
          <w:tcPr>
            <w:tcW w:w="0" w:type="auto"/>
            <w:vMerge w:val="restart"/>
            <w:hideMark/>
          </w:tcPr>
          <w:p w14:paraId="4EFC5B96" w14:textId="77777777" w:rsidR="00C230E2" w:rsidRPr="00CA3D66" w:rsidRDefault="00C230E2" w:rsidP="00124BC6">
            <w:pPr>
              <w:spacing w:after="160" w:line="240" w:lineRule="auto"/>
              <w:cnfStyle w:val="000000000000" w:firstRow="0" w:lastRow="0" w:firstColumn="0" w:lastColumn="0" w:oddVBand="0" w:evenVBand="0" w:oddHBand="0" w:evenHBand="0" w:firstRowFirstColumn="0" w:firstRowLastColumn="0" w:lastRowFirstColumn="0" w:lastRowLastColumn="0"/>
              <w:rPr>
                <w:rFonts w:cs="Times New Roman"/>
                <w:b/>
                <w:bCs/>
                <w:szCs w:val="24"/>
                <w:lang w:val="en-GB"/>
              </w:rPr>
            </w:pPr>
            <w:r w:rsidRPr="00CA3D66">
              <w:rPr>
                <w:rFonts w:cs="Times New Roman"/>
                <w:b/>
                <w:bCs/>
                <w:szCs w:val="24"/>
                <w:lang w:val="en-GB"/>
              </w:rPr>
              <w:t>PM</w:t>
            </w:r>
            <w:r w:rsidRPr="00CA3D66">
              <w:rPr>
                <w:rFonts w:cs="Times New Roman"/>
                <w:b/>
                <w:bCs/>
                <w:szCs w:val="24"/>
                <w:vertAlign w:val="subscript"/>
                <w:lang w:val="en-GB"/>
              </w:rPr>
              <w:t>2.5</w:t>
            </w:r>
          </w:p>
        </w:tc>
        <w:tc>
          <w:tcPr>
            <w:tcW w:w="0" w:type="auto"/>
            <w:hideMark/>
          </w:tcPr>
          <w:p w14:paraId="42525745" w14:textId="77777777" w:rsidR="00C230E2" w:rsidRPr="00CA3D66" w:rsidRDefault="00C230E2" w:rsidP="00124BC6">
            <w:pPr>
              <w:spacing w:after="160" w:line="240" w:lineRule="auto"/>
              <w:cnfStyle w:val="000000000000" w:firstRow="0" w:lastRow="0" w:firstColumn="0" w:lastColumn="0" w:oddVBand="0" w:evenVBand="0" w:oddHBand="0" w:evenHBand="0" w:firstRowFirstColumn="0" w:firstRowLastColumn="0" w:lastRowFirstColumn="0" w:lastRowLastColumn="0"/>
              <w:rPr>
                <w:rFonts w:cs="Times New Roman"/>
                <w:szCs w:val="24"/>
                <w:lang w:val="en-GB"/>
              </w:rPr>
            </w:pPr>
            <w:r w:rsidRPr="00CA3D66">
              <w:rPr>
                <w:rFonts w:cs="Times New Roman"/>
                <w:szCs w:val="24"/>
                <w:lang w:val="en-GB"/>
              </w:rPr>
              <w:t>primary</w:t>
            </w:r>
          </w:p>
        </w:tc>
        <w:tc>
          <w:tcPr>
            <w:tcW w:w="0" w:type="auto"/>
            <w:hideMark/>
          </w:tcPr>
          <w:p w14:paraId="6BEABA5F" w14:textId="77777777" w:rsidR="00C230E2" w:rsidRPr="00CA3D66" w:rsidRDefault="00C230E2" w:rsidP="00124BC6">
            <w:pPr>
              <w:spacing w:after="160" w:line="240" w:lineRule="auto"/>
              <w:cnfStyle w:val="000000000000" w:firstRow="0" w:lastRow="0" w:firstColumn="0" w:lastColumn="0" w:oddVBand="0" w:evenVBand="0" w:oddHBand="0" w:evenHBand="0" w:firstRowFirstColumn="0" w:firstRowLastColumn="0" w:lastRowFirstColumn="0" w:lastRowLastColumn="0"/>
              <w:rPr>
                <w:rFonts w:cs="Times New Roman"/>
                <w:szCs w:val="24"/>
                <w:lang w:val="en-GB"/>
              </w:rPr>
            </w:pPr>
            <w:r w:rsidRPr="00CA3D66">
              <w:rPr>
                <w:rFonts w:cs="Times New Roman"/>
                <w:szCs w:val="24"/>
                <w:lang w:val="en-GB"/>
              </w:rPr>
              <w:t>1 year</w:t>
            </w:r>
          </w:p>
        </w:tc>
        <w:tc>
          <w:tcPr>
            <w:tcW w:w="0" w:type="auto"/>
            <w:hideMark/>
          </w:tcPr>
          <w:p w14:paraId="26FCB338" w14:textId="77777777" w:rsidR="00C230E2" w:rsidRPr="00CA3D66" w:rsidRDefault="00C230E2" w:rsidP="00124BC6">
            <w:pPr>
              <w:spacing w:after="160" w:line="240" w:lineRule="auto"/>
              <w:cnfStyle w:val="000000000000" w:firstRow="0" w:lastRow="0" w:firstColumn="0" w:lastColumn="0" w:oddVBand="0" w:evenVBand="0" w:oddHBand="0" w:evenHBand="0" w:firstRowFirstColumn="0" w:firstRowLastColumn="0" w:lastRowFirstColumn="0" w:lastRowLastColumn="0"/>
              <w:rPr>
                <w:rFonts w:cs="Times New Roman"/>
                <w:szCs w:val="24"/>
                <w:lang w:val="en-GB"/>
              </w:rPr>
            </w:pPr>
            <w:r w:rsidRPr="00CA3D66">
              <w:rPr>
                <w:rFonts w:cs="Times New Roman"/>
                <w:szCs w:val="24"/>
                <w:lang w:val="en-GB"/>
              </w:rPr>
              <w:t xml:space="preserve">12.0 </w:t>
            </w:r>
            <w:proofErr w:type="spellStart"/>
            <w:r w:rsidRPr="00CA3D66">
              <w:rPr>
                <w:rFonts w:cs="Times New Roman"/>
                <w:szCs w:val="24"/>
                <w:lang w:val="en-GB"/>
              </w:rPr>
              <w:t>μg</w:t>
            </w:r>
            <w:proofErr w:type="spellEnd"/>
            <w:r w:rsidRPr="00CA3D66">
              <w:rPr>
                <w:rFonts w:cs="Times New Roman"/>
                <w:szCs w:val="24"/>
                <w:lang w:val="en-GB"/>
              </w:rPr>
              <w:t>/m</w:t>
            </w:r>
            <w:r w:rsidRPr="00CA3D66">
              <w:rPr>
                <w:rFonts w:cs="Times New Roman"/>
                <w:szCs w:val="24"/>
                <w:vertAlign w:val="superscript"/>
                <w:lang w:val="en-GB"/>
              </w:rPr>
              <w:t>3</w:t>
            </w:r>
          </w:p>
        </w:tc>
        <w:tc>
          <w:tcPr>
            <w:tcW w:w="0" w:type="auto"/>
            <w:hideMark/>
          </w:tcPr>
          <w:p w14:paraId="4774239D" w14:textId="77777777" w:rsidR="00C230E2" w:rsidRPr="00CA3D66" w:rsidRDefault="00C230E2" w:rsidP="00124BC6">
            <w:pPr>
              <w:spacing w:after="160" w:line="240" w:lineRule="auto"/>
              <w:cnfStyle w:val="000000000000" w:firstRow="0" w:lastRow="0" w:firstColumn="0" w:lastColumn="0" w:oddVBand="0" w:evenVBand="0" w:oddHBand="0" w:evenHBand="0" w:firstRowFirstColumn="0" w:firstRowLastColumn="0" w:lastRowFirstColumn="0" w:lastRowLastColumn="0"/>
              <w:rPr>
                <w:rFonts w:cs="Times New Roman"/>
                <w:szCs w:val="24"/>
                <w:lang w:val="en-GB"/>
              </w:rPr>
            </w:pPr>
            <w:r w:rsidRPr="00CA3D66">
              <w:rPr>
                <w:rFonts w:cs="Times New Roman"/>
                <w:szCs w:val="24"/>
                <w:lang w:val="en-GB"/>
              </w:rPr>
              <w:t>annual mean, averaged over 3 years</w:t>
            </w:r>
          </w:p>
        </w:tc>
      </w:tr>
      <w:tr w:rsidR="00C230E2" w:rsidRPr="00CA3D66" w14:paraId="144EC98F" w14:textId="77777777" w:rsidTr="006151DB">
        <w:tc>
          <w:tcPr>
            <w:cnfStyle w:val="001000000000" w:firstRow="0" w:lastRow="0" w:firstColumn="1" w:lastColumn="0" w:oddVBand="0" w:evenVBand="0" w:oddHBand="0" w:evenHBand="0" w:firstRowFirstColumn="0" w:firstRowLastColumn="0" w:lastRowFirstColumn="0" w:lastRowLastColumn="0"/>
            <w:tcW w:w="0" w:type="auto"/>
            <w:vMerge/>
            <w:hideMark/>
          </w:tcPr>
          <w:p w14:paraId="550A42C2" w14:textId="77777777" w:rsidR="00C230E2" w:rsidRPr="00CA3D66" w:rsidRDefault="00C230E2" w:rsidP="00124BC6">
            <w:pPr>
              <w:spacing w:after="160" w:line="240" w:lineRule="auto"/>
              <w:rPr>
                <w:rFonts w:cs="Times New Roman"/>
                <w:szCs w:val="24"/>
                <w:lang w:val="en-GB"/>
              </w:rPr>
            </w:pPr>
          </w:p>
        </w:tc>
        <w:tc>
          <w:tcPr>
            <w:tcW w:w="0" w:type="auto"/>
            <w:vMerge/>
            <w:hideMark/>
          </w:tcPr>
          <w:p w14:paraId="05AFF2AF" w14:textId="77777777" w:rsidR="00C230E2" w:rsidRPr="00CA3D66" w:rsidRDefault="00C230E2" w:rsidP="00124BC6">
            <w:pPr>
              <w:spacing w:after="160" w:line="240" w:lineRule="auto"/>
              <w:cnfStyle w:val="000000000000" w:firstRow="0" w:lastRow="0" w:firstColumn="0" w:lastColumn="0" w:oddVBand="0" w:evenVBand="0" w:oddHBand="0" w:evenHBand="0" w:firstRowFirstColumn="0" w:firstRowLastColumn="0" w:lastRowFirstColumn="0" w:lastRowLastColumn="0"/>
              <w:rPr>
                <w:rFonts w:cs="Times New Roman"/>
                <w:b/>
                <w:bCs/>
                <w:szCs w:val="24"/>
                <w:lang w:val="en-GB"/>
              </w:rPr>
            </w:pPr>
          </w:p>
        </w:tc>
        <w:tc>
          <w:tcPr>
            <w:tcW w:w="0" w:type="auto"/>
            <w:hideMark/>
          </w:tcPr>
          <w:p w14:paraId="49FDCDC2" w14:textId="77777777" w:rsidR="00C230E2" w:rsidRPr="00CA3D66" w:rsidRDefault="00C230E2" w:rsidP="00124BC6">
            <w:pPr>
              <w:spacing w:after="160" w:line="240" w:lineRule="auto"/>
              <w:cnfStyle w:val="000000000000" w:firstRow="0" w:lastRow="0" w:firstColumn="0" w:lastColumn="0" w:oddVBand="0" w:evenVBand="0" w:oddHBand="0" w:evenHBand="0" w:firstRowFirstColumn="0" w:firstRowLastColumn="0" w:lastRowFirstColumn="0" w:lastRowLastColumn="0"/>
              <w:rPr>
                <w:rFonts w:cs="Times New Roman"/>
                <w:szCs w:val="24"/>
                <w:lang w:val="en-GB"/>
              </w:rPr>
            </w:pPr>
            <w:r w:rsidRPr="00CA3D66">
              <w:rPr>
                <w:rFonts w:cs="Times New Roman"/>
                <w:szCs w:val="24"/>
                <w:lang w:val="en-GB"/>
              </w:rPr>
              <w:t>secondary</w:t>
            </w:r>
          </w:p>
        </w:tc>
        <w:tc>
          <w:tcPr>
            <w:tcW w:w="0" w:type="auto"/>
            <w:hideMark/>
          </w:tcPr>
          <w:p w14:paraId="28CB6F6F" w14:textId="77777777" w:rsidR="00C230E2" w:rsidRPr="00CA3D66" w:rsidRDefault="00C230E2" w:rsidP="00124BC6">
            <w:pPr>
              <w:spacing w:after="160" w:line="240" w:lineRule="auto"/>
              <w:cnfStyle w:val="000000000000" w:firstRow="0" w:lastRow="0" w:firstColumn="0" w:lastColumn="0" w:oddVBand="0" w:evenVBand="0" w:oddHBand="0" w:evenHBand="0" w:firstRowFirstColumn="0" w:firstRowLastColumn="0" w:lastRowFirstColumn="0" w:lastRowLastColumn="0"/>
              <w:rPr>
                <w:rFonts w:cs="Times New Roman"/>
                <w:szCs w:val="24"/>
                <w:lang w:val="en-GB"/>
              </w:rPr>
            </w:pPr>
            <w:r w:rsidRPr="00CA3D66">
              <w:rPr>
                <w:rFonts w:cs="Times New Roman"/>
                <w:szCs w:val="24"/>
                <w:lang w:val="en-GB"/>
              </w:rPr>
              <w:t>1 year</w:t>
            </w:r>
          </w:p>
        </w:tc>
        <w:tc>
          <w:tcPr>
            <w:tcW w:w="0" w:type="auto"/>
            <w:hideMark/>
          </w:tcPr>
          <w:p w14:paraId="1F7EB4A4" w14:textId="77777777" w:rsidR="00C230E2" w:rsidRPr="00CA3D66" w:rsidRDefault="00C230E2" w:rsidP="00124BC6">
            <w:pPr>
              <w:spacing w:after="160" w:line="240" w:lineRule="auto"/>
              <w:cnfStyle w:val="000000000000" w:firstRow="0" w:lastRow="0" w:firstColumn="0" w:lastColumn="0" w:oddVBand="0" w:evenVBand="0" w:oddHBand="0" w:evenHBand="0" w:firstRowFirstColumn="0" w:firstRowLastColumn="0" w:lastRowFirstColumn="0" w:lastRowLastColumn="0"/>
              <w:rPr>
                <w:rFonts w:cs="Times New Roman"/>
                <w:szCs w:val="24"/>
                <w:lang w:val="en-GB"/>
              </w:rPr>
            </w:pPr>
            <w:r w:rsidRPr="00CA3D66">
              <w:rPr>
                <w:rFonts w:cs="Times New Roman"/>
                <w:szCs w:val="24"/>
                <w:lang w:val="en-GB"/>
              </w:rPr>
              <w:t xml:space="preserve">15.0 </w:t>
            </w:r>
            <w:proofErr w:type="spellStart"/>
            <w:r w:rsidRPr="00CA3D66">
              <w:rPr>
                <w:rFonts w:cs="Times New Roman"/>
                <w:szCs w:val="24"/>
                <w:lang w:val="en-GB"/>
              </w:rPr>
              <w:t>μg</w:t>
            </w:r>
            <w:proofErr w:type="spellEnd"/>
            <w:r w:rsidRPr="00CA3D66">
              <w:rPr>
                <w:rFonts w:cs="Times New Roman"/>
                <w:szCs w:val="24"/>
                <w:lang w:val="en-GB"/>
              </w:rPr>
              <w:t>/m</w:t>
            </w:r>
            <w:r w:rsidRPr="00CA3D66">
              <w:rPr>
                <w:rFonts w:cs="Times New Roman"/>
                <w:szCs w:val="24"/>
                <w:vertAlign w:val="superscript"/>
                <w:lang w:val="en-GB"/>
              </w:rPr>
              <w:t>3</w:t>
            </w:r>
          </w:p>
        </w:tc>
        <w:tc>
          <w:tcPr>
            <w:tcW w:w="0" w:type="auto"/>
            <w:hideMark/>
          </w:tcPr>
          <w:p w14:paraId="5AE4BDB6" w14:textId="77777777" w:rsidR="00C230E2" w:rsidRPr="00CA3D66" w:rsidRDefault="00C230E2" w:rsidP="00124BC6">
            <w:pPr>
              <w:spacing w:after="160" w:line="240" w:lineRule="auto"/>
              <w:cnfStyle w:val="000000000000" w:firstRow="0" w:lastRow="0" w:firstColumn="0" w:lastColumn="0" w:oddVBand="0" w:evenVBand="0" w:oddHBand="0" w:evenHBand="0" w:firstRowFirstColumn="0" w:firstRowLastColumn="0" w:lastRowFirstColumn="0" w:lastRowLastColumn="0"/>
              <w:rPr>
                <w:rFonts w:cs="Times New Roman"/>
                <w:szCs w:val="24"/>
                <w:lang w:val="en-GB"/>
              </w:rPr>
            </w:pPr>
            <w:r w:rsidRPr="00CA3D66">
              <w:rPr>
                <w:rFonts w:cs="Times New Roman"/>
                <w:szCs w:val="24"/>
                <w:lang w:val="en-GB"/>
              </w:rPr>
              <w:t>annual mean, averaged over 3 years</w:t>
            </w:r>
          </w:p>
        </w:tc>
      </w:tr>
      <w:tr w:rsidR="00C230E2" w:rsidRPr="00CA3D66" w14:paraId="6620E809" w14:textId="77777777" w:rsidTr="006151DB">
        <w:tc>
          <w:tcPr>
            <w:cnfStyle w:val="001000000000" w:firstRow="0" w:lastRow="0" w:firstColumn="1" w:lastColumn="0" w:oddVBand="0" w:evenVBand="0" w:oddHBand="0" w:evenHBand="0" w:firstRowFirstColumn="0" w:firstRowLastColumn="0" w:lastRowFirstColumn="0" w:lastRowLastColumn="0"/>
            <w:tcW w:w="0" w:type="auto"/>
            <w:vMerge/>
            <w:hideMark/>
          </w:tcPr>
          <w:p w14:paraId="2D972FA5" w14:textId="77777777" w:rsidR="00C230E2" w:rsidRPr="00CA3D66" w:rsidRDefault="00C230E2" w:rsidP="00124BC6">
            <w:pPr>
              <w:spacing w:after="160" w:line="240" w:lineRule="auto"/>
              <w:rPr>
                <w:rFonts w:cs="Times New Roman"/>
                <w:szCs w:val="24"/>
                <w:lang w:val="en-GB"/>
              </w:rPr>
            </w:pPr>
          </w:p>
        </w:tc>
        <w:tc>
          <w:tcPr>
            <w:tcW w:w="0" w:type="auto"/>
            <w:vMerge/>
            <w:hideMark/>
          </w:tcPr>
          <w:p w14:paraId="1C0B855D" w14:textId="77777777" w:rsidR="00C230E2" w:rsidRPr="00CA3D66" w:rsidRDefault="00C230E2" w:rsidP="00124BC6">
            <w:pPr>
              <w:spacing w:after="160" w:line="240" w:lineRule="auto"/>
              <w:cnfStyle w:val="000000000000" w:firstRow="0" w:lastRow="0" w:firstColumn="0" w:lastColumn="0" w:oddVBand="0" w:evenVBand="0" w:oddHBand="0" w:evenHBand="0" w:firstRowFirstColumn="0" w:firstRowLastColumn="0" w:lastRowFirstColumn="0" w:lastRowLastColumn="0"/>
              <w:rPr>
                <w:rFonts w:cs="Times New Roman"/>
                <w:b/>
                <w:bCs/>
                <w:szCs w:val="24"/>
                <w:lang w:val="en-GB"/>
              </w:rPr>
            </w:pPr>
          </w:p>
        </w:tc>
        <w:tc>
          <w:tcPr>
            <w:tcW w:w="0" w:type="auto"/>
            <w:hideMark/>
          </w:tcPr>
          <w:p w14:paraId="01081203" w14:textId="77777777" w:rsidR="00C230E2" w:rsidRPr="00CA3D66" w:rsidRDefault="00C230E2" w:rsidP="00124BC6">
            <w:pPr>
              <w:spacing w:after="160" w:line="240" w:lineRule="auto"/>
              <w:cnfStyle w:val="000000000000" w:firstRow="0" w:lastRow="0" w:firstColumn="0" w:lastColumn="0" w:oddVBand="0" w:evenVBand="0" w:oddHBand="0" w:evenHBand="0" w:firstRowFirstColumn="0" w:firstRowLastColumn="0" w:lastRowFirstColumn="0" w:lastRowLastColumn="0"/>
              <w:rPr>
                <w:rFonts w:cs="Times New Roman"/>
                <w:szCs w:val="24"/>
                <w:lang w:val="en-GB"/>
              </w:rPr>
            </w:pPr>
            <w:r w:rsidRPr="00CA3D66">
              <w:rPr>
                <w:rFonts w:cs="Times New Roman"/>
                <w:szCs w:val="24"/>
                <w:lang w:val="en-GB"/>
              </w:rPr>
              <w:t>primary and</w:t>
            </w:r>
            <w:r w:rsidRPr="00CA3D66">
              <w:rPr>
                <w:rFonts w:cs="Times New Roman"/>
                <w:szCs w:val="24"/>
                <w:lang w:val="en-GB"/>
              </w:rPr>
              <w:br/>
              <w:t>secondary</w:t>
            </w:r>
          </w:p>
        </w:tc>
        <w:tc>
          <w:tcPr>
            <w:tcW w:w="0" w:type="auto"/>
            <w:hideMark/>
          </w:tcPr>
          <w:p w14:paraId="2DA7ACAC" w14:textId="77777777" w:rsidR="00C230E2" w:rsidRPr="00CA3D66" w:rsidRDefault="00C230E2" w:rsidP="00124BC6">
            <w:pPr>
              <w:spacing w:after="160" w:line="240" w:lineRule="auto"/>
              <w:cnfStyle w:val="000000000000" w:firstRow="0" w:lastRow="0" w:firstColumn="0" w:lastColumn="0" w:oddVBand="0" w:evenVBand="0" w:oddHBand="0" w:evenHBand="0" w:firstRowFirstColumn="0" w:firstRowLastColumn="0" w:lastRowFirstColumn="0" w:lastRowLastColumn="0"/>
              <w:rPr>
                <w:rFonts w:cs="Times New Roman"/>
                <w:szCs w:val="24"/>
                <w:lang w:val="en-GB"/>
              </w:rPr>
            </w:pPr>
            <w:r w:rsidRPr="00CA3D66">
              <w:rPr>
                <w:rFonts w:cs="Times New Roman"/>
                <w:szCs w:val="24"/>
                <w:lang w:val="en-GB"/>
              </w:rPr>
              <w:t>24 hours</w:t>
            </w:r>
          </w:p>
        </w:tc>
        <w:tc>
          <w:tcPr>
            <w:tcW w:w="0" w:type="auto"/>
            <w:hideMark/>
          </w:tcPr>
          <w:p w14:paraId="14980314" w14:textId="77777777" w:rsidR="00C230E2" w:rsidRPr="00CA3D66" w:rsidRDefault="00C230E2" w:rsidP="00124BC6">
            <w:pPr>
              <w:spacing w:after="160" w:line="240" w:lineRule="auto"/>
              <w:cnfStyle w:val="000000000000" w:firstRow="0" w:lastRow="0" w:firstColumn="0" w:lastColumn="0" w:oddVBand="0" w:evenVBand="0" w:oddHBand="0" w:evenHBand="0" w:firstRowFirstColumn="0" w:firstRowLastColumn="0" w:lastRowFirstColumn="0" w:lastRowLastColumn="0"/>
              <w:rPr>
                <w:rFonts w:cs="Times New Roman"/>
                <w:szCs w:val="24"/>
                <w:lang w:val="en-GB"/>
              </w:rPr>
            </w:pPr>
            <w:r w:rsidRPr="00CA3D66">
              <w:rPr>
                <w:rFonts w:cs="Times New Roman"/>
                <w:szCs w:val="24"/>
                <w:lang w:val="en-GB"/>
              </w:rPr>
              <w:t xml:space="preserve">35 </w:t>
            </w:r>
            <w:proofErr w:type="spellStart"/>
            <w:r w:rsidRPr="00CA3D66">
              <w:rPr>
                <w:rFonts w:cs="Times New Roman"/>
                <w:szCs w:val="24"/>
                <w:lang w:val="en-GB"/>
              </w:rPr>
              <w:t>μg</w:t>
            </w:r>
            <w:proofErr w:type="spellEnd"/>
            <w:r w:rsidRPr="00CA3D66">
              <w:rPr>
                <w:rFonts w:cs="Times New Roman"/>
                <w:szCs w:val="24"/>
                <w:lang w:val="en-GB"/>
              </w:rPr>
              <w:t>/m</w:t>
            </w:r>
            <w:r w:rsidRPr="00CA3D66">
              <w:rPr>
                <w:rFonts w:cs="Times New Roman"/>
                <w:szCs w:val="24"/>
                <w:vertAlign w:val="superscript"/>
                <w:lang w:val="en-GB"/>
              </w:rPr>
              <w:t>3</w:t>
            </w:r>
          </w:p>
        </w:tc>
        <w:tc>
          <w:tcPr>
            <w:tcW w:w="0" w:type="auto"/>
            <w:hideMark/>
          </w:tcPr>
          <w:p w14:paraId="26BAC4E9" w14:textId="77777777" w:rsidR="00C230E2" w:rsidRPr="00CA3D66" w:rsidRDefault="00C230E2" w:rsidP="00124BC6">
            <w:pPr>
              <w:spacing w:after="160" w:line="240" w:lineRule="auto"/>
              <w:cnfStyle w:val="000000000000" w:firstRow="0" w:lastRow="0" w:firstColumn="0" w:lastColumn="0" w:oddVBand="0" w:evenVBand="0" w:oddHBand="0" w:evenHBand="0" w:firstRowFirstColumn="0" w:firstRowLastColumn="0" w:lastRowFirstColumn="0" w:lastRowLastColumn="0"/>
              <w:rPr>
                <w:rFonts w:cs="Times New Roman"/>
                <w:szCs w:val="24"/>
                <w:lang w:val="en-GB"/>
              </w:rPr>
            </w:pPr>
            <w:r w:rsidRPr="00CA3D66">
              <w:rPr>
                <w:rFonts w:cs="Times New Roman"/>
                <w:szCs w:val="24"/>
                <w:lang w:val="en-GB"/>
              </w:rPr>
              <w:t>98th percentile, averaged over 3 years</w:t>
            </w:r>
          </w:p>
        </w:tc>
      </w:tr>
      <w:tr w:rsidR="00C230E2" w:rsidRPr="00CA3D66" w14:paraId="0995306A" w14:textId="77777777" w:rsidTr="006151DB">
        <w:tc>
          <w:tcPr>
            <w:cnfStyle w:val="001000000000" w:firstRow="0" w:lastRow="0" w:firstColumn="1" w:lastColumn="0" w:oddVBand="0" w:evenVBand="0" w:oddHBand="0" w:evenHBand="0" w:firstRowFirstColumn="0" w:firstRowLastColumn="0" w:lastRowFirstColumn="0" w:lastRowLastColumn="0"/>
            <w:tcW w:w="0" w:type="auto"/>
            <w:vMerge/>
            <w:hideMark/>
          </w:tcPr>
          <w:p w14:paraId="17728B1C" w14:textId="77777777" w:rsidR="00C230E2" w:rsidRPr="00CA3D66" w:rsidRDefault="00C230E2" w:rsidP="00124BC6">
            <w:pPr>
              <w:spacing w:after="160" w:line="240" w:lineRule="auto"/>
              <w:rPr>
                <w:rFonts w:cs="Times New Roman"/>
                <w:szCs w:val="24"/>
                <w:lang w:val="en-GB"/>
              </w:rPr>
            </w:pPr>
          </w:p>
        </w:tc>
        <w:tc>
          <w:tcPr>
            <w:tcW w:w="0" w:type="auto"/>
            <w:hideMark/>
          </w:tcPr>
          <w:p w14:paraId="204F6746" w14:textId="77777777" w:rsidR="00C230E2" w:rsidRPr="00CA3D66" w:rsidRDefault="00C230E2" w:rsidP="00124BC6">
            <w:pPr>
              <w:spacing w:after="160" w:line="240" w:lineRule="auto"/>
              <w:cnfStyle w:val="000000000000" w:firstRow="0" w:lastRow="0" w:firstColumn="0" w:lastColumn="0" w:oddVBand="0" w:evenVBand="0" w:oddHBand="0" w:evenHBand="0" w:firstRowFirstColumn="0" w:firstRowLastColumn="0" w:lastRowFirstColumn="0" w:lastRowLastColumn="0"/>
              <w:rPr>
                <w:rFonts w:cs="Times New Roman"/>
                <w:b/>
                <w:bCs/>
                <w:szCs w:val="24"/>
                <w:lang w:val="en-GB"/>
              </w:rPr>
            </w:pPr>
            <w:r w:rsidRPr="00CA3D66">
              <w:rPr>
                <w:rFonts w:cs="Times New Roman"/>
                <w:b/>
                <w:bCs/>
                <w:szCs w:val="24"/>
                <w:lang w:val="en-GB"/>
              </w:rPr>
              <w:t>PM</w:t>
            </w:r>
            <w:r w:rsidRPr="00CA3D66">
              <w:rPr>
                <w:rFonts w:cs="Times New Roman"/>
                <w:b/>
                <w:bCs/>
                <w:szCs w:val="24"/>
                <w:vertAlign w:val="subscript"/>
                <w:lang w:val="en-GB"/>
              </w:rPr>
              <w:t>10</w:t>
            </w:r>
          </w:p>
        </w:tc>
        <w:tc>
          <w:tcPr>
            <w:tcW w:w="0" w:type="auto"/>
            <w:hideMark/>
          </w:tcPr>
          <w:p w14:paraId="2139A174" w14:textId="77777777" w:rsidR="00C230E2" w:rsidRPr="00CA3D66" w:rsidRDefault="00C230E2" w:rsidP="00124BC6">
            <w:pPr>
              <w:spacing w:after="160" w:line="240" w:lineRule="auto"/>
              <w:cnfStyle w:val="000000000000" w:firstRow="0" w:lastRow="0" w:firstColumn="0" w:lastColumn="0" w:oddVBand="0" w:evenVBand="0" w:oddHBand="0" w:evenHBand="0" w:firstRowFirstColumn="0" w:firstRowLastColumn="0" w:lastRowFirstColumn="0" w:lastRowLastColumn="0"/>
              <w:rPr>
                <w:rFonts w:cs="Times New Roman"/>
                <w:szCs w:val="24"/>
                <w:lang w:val="en-GB"/>
              </w:rPr>
            </w:pPr>
            <w:r w:rsidRPr="00CA3D66">
              <w:rPr>
                <w:rFonts w:cs="Times New Roman"/>
                <w:szCs w:val="24"/>
                <w:lang w:val="en-GB"/>
              </w:rPr>
              <w:t>primary and</w:t>
            </w:r>
            <w:r w:rsidRPr="00CA3D66">
              <w:rPr>
                <w:rFonts w:cs="Times New Roman"/>
                <w:szCs w:val="24"/>
                <w:lang w:val="en-GB"/>
              </w:rPr>
              <w:br/>
              <w:t>secondary</w:t>
            </w:r>
          </w:p>
        </w:tc>
        <w:tc>
          <w:tcPr>
            <w:tcW w:w="0" w:type="auto"/>
            <w:hideMark/>
          </w:tcPr>
          <w:p w14:paraId="3AF39B62" w14:textId="77777777" w:rsidR="00C230E2" w:rsidRPr="00CA3D66" w:rsidRDefault="00C230E2" w:rsidP="00124BC6">
            <w:pPr>
              <w:spacing w:after="160" w:line="240" w:lineRule="auto"/>
              <w:cnfStyle w:val="000000000000" w:firstRow="0" w:lastRow="0" w:firstColumn="0" w:lastColumn="0" w:oddVBand="0" w:evenVBand="0" w:oddHBand="0" w:evenHBand="0" w:firstRowFirstColumn="0" w:firstRowLastColumn="0" w:lastRowFirstColumn="0" w:lastRowLastColumn="0"/>
              <w:rPr>
                <w:rFonts w:cs="Times New Roman"/>
                <w:szCs w:val="24"/>
                <w:lang w:val="en-GB"/>
              </w:rPr>
            </w:pPr>
            <w:r w:rsidRPr="00CA3D66">
              <w:rPr>
                <w:rFonts w:cs="Times New Roman"/>
                <w:szCs w:val="24"/>
                <w:lang w:val="en-GB"/>
              </w:rPr>
              <w:t>24 hours</w:t>
            </w:r>
          </w:p>
        </w:tc>
        <w:tc>
          <w:tcPr>
            <w:tcW w:w="0" w:type="auto"/>
            <w:hideMark/>
          </w:tcPr>
          <w:p w14:paraId="2E9CD9F1" w14:textId="77777777" w:rsidR="00C230E2" w:rsidRPr="00CA3D66" w:rsidRDefault="00C230E2" w:rsidP="00124BC6">
            <w:pPr>
              <w:spacing w:after="160" w:line="240" w:lineRule="auto"/>
              <w:cnfStyle w:val="000000000000" w:firstRow="0" w:lastRow="0" w:firstColumn="0" w:lastColumn="0" w:oddVBand="0" w:evenVBand="0" w:oddHBand="0" w:evenHBand="0" w:firstRowFirstColumn="0" w:firstRowLastColumn="0" w:lastRowFirstColumn="0" w:lastRowLastColumn="0"/>
              <w:rPr>
                <w:rFonts w:cs="Times New Roman"/>
                <w:szCs w:val="24"/>
                <w:lang w:val="en-GB"/>
              </w:rPr>
            </w:pPr>
            <w:r w:rsidRPr="00CA3D66">
              <w:rPr>
                <w:rFonts w:cs="Times New Roman"/>
                <w:szCs w:val="24"/>
                <w:lang w:val="en-GB"/>
              </w:rPr>
              <w:t xml:space="preserve">150 </w:t>
            </w:r>
            <w:proofErr w:type="spellStart"/>
            <w:r w:rsidRPr="00CA3D66">
              <w:rPr>
                <w:rFonts w:cs="Times New Roman"/>
                <w:szCs w:val="24"/>
                <w:lang w:val="en-GB"/>
              </w:rPr>
              <w:t>μg</w:t>
            </w:r>
            <w:proofErr w:type="spellEnd"/>
            <w:r w:rsidRPr="00CA3D66">
              <w:rPr>
                <w:rFonts w:cs="Times New Roman"/>
                <w:szCs w:val="24"/>
                <w:lang w:val="en-GB"/>
              </w:rPr>
              <w:t>/m</w:t>
            </w:r>
            <w:r w:rsidRPr="00CA3D66">
              <w:rPr>
                <w:rFonts w:cs="Times New Roman"/>
                <w:szCs w:val="24"/>
                <w:vertAlign w:val="superscript"/>
                <w:lang w:val="en-GB"/>
              </w:rPr>
              <w:t>3</w:t>
            </w:r>
          </w:p>
        </w:tc>
        <w:tc>
          <w:tcPr>
            <w:tcW w:w="0" w:type="auto"/>
            <w:hideMark/>
          </w:tcPr>
          <w:p w14:paraId="5261B623" w14:textId="77777777" w:rsidR="00C230E2" w:rsidRPr="00CA3D66" w:rsidRDefault="00C230E2" w:rsidP="00124BC6">
            <w:pPr>
              <w:spacing w:after="160" w:line="240" w:lineRule="auto"/>
              <w:cnfStyle w:val="000000000000" w:firstRow="0" w:lastRow="0" w:firstColumn="0" w:lastColumn="0" w:oddVBand="0" w:evenVBand="0" w:oddHBand="0" w:evenHBand="0" w:firstRowFirstColumn="0" w:firstRowLastColumn="0" w:lastRowFirstColumn="0" w:lastRowLastColumn="0"/>
              <w:rPr>
                <w:rFonts w:cs="Times New Roman"/>
                <w:szCs w:val="24"/>
                <w:lang w:val="en-GB"/>
              </w:rPr>
            </w:pPr>
            <w:r w:rsidRPr="00CA3D66">
              <w:rPr>
                <w:rFonts w:cs="Times New Roman"/>
                <w:szCs w:val="24"/>
                <w:lang w:val="en-GB"/>
              </w:rPr>
              <w:t>Not to be exceeded more than once per year on average over 3 years</w:t>
            </w:r>
          </w:p>
        </w:tc>
      </w:tr>
      <w:tr w:rsidR="00C230E2" w:rsidRPr="00CA3D66" w14:paraId="6AD92F72" w14:textId="77777777" w:rsidTr="006151DB">
        <w:tc>
          <w:tcPr>
            <w:cnfStyle w:val="001000000000" w:firstRow="0" w:lastRow="0" w:firstColumn="1" w:lastColumn="0" w:oddVBand="0" w:evenVBand="0" w:oddHBand="0" w:evenHBand="0" w:firstRowFirstColumn="0" w:firstRowLastColumn="0" w:lastRowFirstColumn="0" w:lastRowLastColumn="0"/>
            <w:tcW w:w="0" w:type="auto"/>
            <w:gridSpan w:val="2"/>
            <w:vMerge w:val="restart"/>
            <w:hideMark/>
          </w:tcPr>
          <w:p w14:paraId="3B6F01DD" w14:textId="77777777" w:rsidR="00C230E2" w:rsidRPr="00CA3D66" w:rsidRDefault="00C230E2" w:rsidP="00124BC6">
            <w:pPr>
              <w:spacing w:after="160" w:line="240" w:lineRule="auto"/>
              <w:rPr>
                <w:rFonts w:cs="Times New Roman"/>
                <w:szCs w:val="24"/>
                <w:lang w:val="en-GB"/>
              </w:rPr>
            </w:pPr>
            <w:r w:rsidRPr="00CA3D66">
              <w:rPr>
                <w:rFonts w:cs="Times New Roman"/>
                <w:szCs w:val="24"/>
                <w:lang w:val="en-GB"/>
              </w:rPr>
              <w:t>Sulfur Dioxide (SO2)</w:t>
            </w:r>
          </w:p>
        </w:tc>
        <w:tc>
          <w:tcPr>
            <w:tcW w:w="0" w:type="auto"/>
            <w:hideMark/>
          </w:tcPr>
          <w:p w14:paraId="2CA74D55" w14:textId="77777777" w:rsidR="00C230E2" w:rsidRPr="00CA3D66" w:rsidRDefault="00C230E2" w:rsidP="00124BC6">
            <w:pPr>
              <w:spacing w:after="160" w:line="240" w:lineRule="auto"/>
              <w:cnfStyle w:val="000000000000" w:firstRow="0" w:lastRow="0" w:firstColumn="0" w:lastColumn="0" w:oddVBand="0" w:evenVBand="0" w:oddHBand="0" w:evenHBand="0" w:firstRowFirstColumn="0" w:firstRowLastColumn="0" w:lastRowFirstColumn="0" w:lastRowLastColumn="0"/>
              <w:rPr>
                <w:rFonts w:cs="Times New Roman"/>
                <w:szCs w:val="24"/>
                <w:lang w:val="en-GB"/>
              </w:rPr>
            </w:pPr>
            <w:r w:rsidRPr="00CA3D66">
              <w:rPr>
                <w:rFonts w:cs="Times New Roman"/>
                <w:szCs w:val="24"/>
                <w:lang w:val="en-GB"/>
              </w:rPr>
              <w:t>primary</w:t>
            </w:r>
          </w:p>
        </w:tc>
        <w:tc>
          <w:tcPr>
            <w:tcW w:w="0" w:type="auto"/>
            <w:hideMark/>
          </w:tcPr>
          <w:p w14:paraId="294E8BC0" w14:textId="77777777" w:rsidR="00C230E2" w:rsidRPr="00CA3D66" w:rsidRDefault="00C230E2" w:rsidP="00124BC6">
            <w:pPr>
              <w:spacing w:after="160" w:line="240" w:lineRule="auto"/>
              <w:cnfStyle w:val="000000000000" w:firstRow="0" w:lastRow="0" w:firstColumn="0" w:lastColumn="0" w:oddVBand="0" w:evenVBand="0" w:oddHBand="0" w:evenHBand="0" w:firstRowFirstColumn="0" w:firstRowLastColumn="0" w:lastRowFirstColumn="0" w:lastRowLastColumn="0"/>
              <w:rPr>
                <w:rFonts w:cs="Times New Roman"/>
                <w:szCs w:val="24"/>
                <w:lang w:val="en-GB"/>
              </w:rPr>
            </w:pPr>
            <w:r w:rsidRPr="00CA3D66">
              <w:rPr>
                <w:rFonts w:cs="Times New Roman"/>
                <w:szCs w:val="24"/>
                <w:lang w:val="en-GB"/>
              </w:rPr>
              <w:t>1 hour</w:t>
            </w:r>
          </w:p>
        </w:tc>
        <w:tc>
          <w:tcPr>
            <w:tcW w:w="0" w:type="auto"/>
            <w:hideMark/>
          </w:tcPr>
          <w:p w14:paraId="4553FE5F" w14:textId="77777777" w:rsidR="00C230E2" w:rsidRPr="00CA3D66" w:rsidRDefault="00C230E2" w:rsidP="00124BC6">
            <w:pPr>
              <w:spacing w:after="160" w:line="240" w:lineRule="auto"/>
              <w:cnfStyle w:val="000000000000" w:firstRow="0" w:lastRow="0" w:firstColumn="0" w:lastColumn="0" w:oddVBand="0" w:evenVBand="0" w:oddHBand="0" w:evenHBand="0" w:firstRowFirstColumn="0" w:firstRowLastColumn="0" w:lastRowFirstColumn="0" w:lastRowLastColumn="0"/>
              <w:rPr>
                <w:rFonts w:cs="Times New Roman"/>
                <w:szCs w:val="24"/>
                <w:lang w:val="en-GB"/>
              </w:rPr>
            </w:pPr>
            <w:r w:rsidRPr="00CA3D66">
              <w:rPr>
                <w:rFonts w:cs="Times New Roman"/>
                <w:szCs w:val="24"/>
                <w:lang w:val="en-GB"/>
              </w:rPr>
              <w:t>75 ppb</w:t>
            </w:r>
          </w:p>
        </w:tc>
        <w:tc>
          <w:tcPr>
            <w:tcW w:w="0" w:type="auto"/>
            <w:hideMark/>
          </w:tcPr>
          <w:p w14:paraId="42525023" w14:textId="77777777" w:rsidR="00C230E2" w:rsidRPr="00CA3D66" w:rsidRDefault="00C230E2" w:rsidP="00124BC6">
            <w:pPr>
              <w:spacing w:after="160" w:line="240" w:lineRule="auto"/>
              <w:cnfStyle w:val="000000000000" w:firstRow="0" w:lastRow="0" w:firstColumn="0" w:lastColumn="0" w:oddVBand="0" w:evenVBand="0" w:oddHBand="0" w:evenHBand="0" w:firstRowFirstColumn="0" w:firstRowLastColumn="0" w:lastRowFirstColumn="0" w:lastRowLastColumn="0"/>
              <w:rPr>
                <w:rFonts w:cs="Times New Roman"/>
                <w:szCs w:val="24"/>
                <w:lang w:val="en-GB"/>
              </w:rPr>
            </w:pPr>
            <w:r w:rsidRPr="00CA3D66">
              <w:rPr>
                <w:rFonts w:cs="Times New Roman"/>
                <w:szCs w:val="24"/>
                <w:lang w:val="en-GB"/>
              </w:rPr>
              <w:t>99th percentile of 1-hour daily maximum concentrations, averaged over 3 years</w:t>
            </w:r>
          </w:p>
        </w:tc>
      </w:tr>
      <w:tr w:rsidR="00C230E2" w:rsidRPr="00CA3D66" w14:paraId="0E781B10" w14:textId="77777777" w:rsidTr="006151DB">
        <w:tc>
          <w:tcPr>
            <w:cnfStyle w:val="001000000000" w:firstRow="0" w:lastRow="0" w:firstColumn="1" w:lastColumn="0" w:oddVBand="0" w:evenVBand="0" w:oddHBand="0" w:evenHBand="0" w:firstRowFirstColumn="0" w:firstRowLastColumn="0" w:lastRowFirstColumn="0" w:lastRowLastColumn="0"/>
            <w:tcW w:w="0" w:type="auto"/>
            <w:gridSpan w:val="2"/>
            <w:vMerge/>
            <w:hideMark/>
          </w:tcPr>
          <w:p w14:paraId="28FE155D" w14:textId="77777777" w:rsidR="00C230E2" w:rsidRPr="00CA3D66" w:rsidRDefault="00C230E2" w:rsidP="00124BC6">
            <w:pPr>
              <w:spacing w:after="160" w:line="240" w:lineRule="auto"/>
              <w:rPr>
                <w:rFonts w:cs="Times New Roman"/>
                <w:szCs w:val="24"/>
                <w:lang w:val="en-GB"/>
              </w:rPr>
            </w:pPr>
          </w:p>
        </w:tc>
        <w:tc>
          <w:tcPr>
            <w:tcW w:w="0" w:type="auto"/>
            <w:hideMark/>
          </w:tcPr>
          <w:p w14:paraId="36864875" w14:textId="77777777" w:rsidR="00C230E2" w:rsidRPr="00CA3D66" w:rsidRDefault="00C230E2" w:rsidP="00124BC6">
            <w:pPr>
              <w:spacing w:after="160" w:line="240" w:lineRule="auto"/>
              <w:cnfStyle w:val="000000000000" w:firstRow="0" w:lastRow="0" w:firstColumn="0" w:lastColumn="0" w:oddVBand="0" w:evenVBand="0" w:oddHBand="0" w:evenHBand="0" w:firstRowFirstColumn="0" w:firstRowLastColumn="0" w:lastRowFirstColumn="0" w:lastRowLastColumn="0"/>
              <w:rPr>
                <w:rFonts w:cs="Times New Roman"/>
                <w:szCs w:val="24"/>
                <w:lang w:val="en-GB"/>
              </w:rPr>
            </w:pPr>
            <w:r w:rsidRPr="00CA3D66">
              <w:rPr>
                <w:rFonts w:cs="Times New Roman"/>
                <w:szCs w:val="24"/>
                <w:lang w:val="en-GB"/>
              </w:rPr>
              <w:t>secondary</w:t>
            </w:r>
          </w:p>
        </w:tc>
        <w:tc>
          <w:tcPr>
            <w:tcW w:w="0" w:type="auto"/>
            <w:hideMark/>
          </w:tcPr>
          <w:p w14:paraId="589688C5" w14:textId="77777777" w:rsidR="00C230E2" w:rsidRPr="00CA3D66" w:rsidRDefault="00C230E2" w:rsidP="00124BC6">
            <w:pPr>
              <w:spacing w:after="160" w:line="240" w:lineRule="auto"/>
              <w:cnfStyle w:val="000000000000" w:firstRow="0" w:lastRow="0" w:firstColumn="0" w:lastColumn="0" w:oddVBand="0" w:evenVBand="0" w:oddHBand="0" w:evenHBand="0" w:firstRowFirstColumn="0" w:firstRowLastColumn="0" w:lastRowFirstColumn="0" w:lastRowLastColumn="0"/>
              <w:rPr>
                <w:rFonts w:cs="Times New Roman"/>
                <w:szCs w:val="24"/>
                <w:lang w:val="en-GB"/>
              </w:rPr>
            </w:pPr>
            <w:r w:rsidRPr="00CA3D66">
              <w:rPr>
                <w:rFonts w:cs="Times New Roman"/>
                <w:szCs w:val="24"/>
                <w:lang w:val="en-GB"/>
              </w:rPr>
              <w:t>3 hours</w:t>
            </w:r>
          </w:p>
        </w:tc>
        <w:tc>
          <w:tcPr>
            <w:tcW w:w="0" w:type="auto"/>
            <w:hideMark/>
          </w:tcPr>
          <w:p w14:paraId="2209C65C" w14:textId="77777777" w:rsidR="00C230E2" w:rsidRPr="00CA3D66" w:rsidRDefault="00C230E2" w:rsidP="00124BC6">
            <w:pPr>
              <w:spacing w:after="160" w:line="240" w:lineRule="auto"/>
              <w:cnfStyle w:val="000000000000" w:firstRow="0" w:lastRow="0" w:firstColumn="0" w:lastColumn="0" w:oddVBand="0" w:evenVBand="0" w:oddHBand="0" w:evenHBand="0" w:firstRowFirstColumn="0" w:firstRowLastColumn="0" w:lastRowFirstColumn="0" w:lastRowLastColumn="0"/>
              <w:rPr>
                <w:rFonts w:cs="Times New Roman"/>
                <w:szCs w:val="24"/>
                <w:lang w:val="en-GB"/>
              </w:rPr>
            </w:pPr>
            <w:r w:rsidRPr="00CA3D66">
              <w:rPr>
                <w:rFonts w:cs="Times New Roman"/>
                <w:szCs w:val="24"/>
                <w:lang w:val="en-GB"/>
              </w:rPr>
              <w:t>0.5 ppm</w:t>
            </w:r>
          </w:p>
        </w:tc>
        <w:tc>
          <w:tcPr>
            <w:tcW w:w="0" w:type="auto"/>
            <w:hideMark/>
          </w:tcPr>
          <w:p w14:paraId="6C0B7443" w14:textId="77777777" w:rsidR="00C230E2" w:rsidRPr="00CA3D66" w:rsidRDefault="00C230E2" w:rsidP="00124BC6">
            <w:pPr>
              <w:spacing w:after="160" w:line="240" w:lineRule="auto"/>
              <w:cnfStyle w:val="000000000000" w:firstRow="0" w:lastRow="0" w:firstColumn="0" w:lastColumn="0" w:oddVBand="0" w:evenVBand="0" w:oddHBand="0" w:evenHBand="0" w:firstRowFirstColumn="0" w:firstRowLastColumn="0" w:lastRowFirstColumn="0" w:lastRowLastColumn="0"/>
              <w:rPr>
                <w:rFonts w:cs="Times New Roman"/>
                <w:szCs w:val="24"/>
                <w:lang w:val="en-GB"/>
              </w:rPr>
            </w:pPr>
            <w:r w:rsidRPr="00CA3D66">
              <w:rPr>
                <w:rFonts w:cs="Times New Roman"/>
                <w:szCs w:val="24"/>
                <w:lang w:val="en-GB"/>
              </w:rPr>
              <w:t>Not to be exceeded more than once per year</w:t>
            </w:r>
          </w:p>
        </w:tc>
      </w:tr>
    </w:tbl>
    <w:p w14:paraId="494BB0C0" w14:textId="77777777" w:rsidR="00124BC6" w:rsidRDefault="00124BC6" w:rsidP="00124BC6">
      <w:pPr>
        <w:spacing w:line="276" w:lineRule="auto"/>
        <w:jc w:val="center"/>
        <w:rPr>
          <w:rFonts w:cs="Times New Roman"/>
        </w:rPr>
      </w:pPr>
    </w:p>
    <w:p w14:paraId="5DC20B4F" w14:textId="08C35976" w:rsidR="00C230E2" w:rsidRPr="00CA3D66" w:rsidRDefault="00C230E2" w:rsidP="00124BC6">
      <w:pPr>
        <w:spacing w:line="276" w:lineRule="auto"/>
        <w:jc w:val="center"/>
        <w:rPr>
          <w:rFonts w:cs="Times New Roman"/>
        </w:rPr>
      </w:pPr>
      <w:r>
        <w:rPr>
          <w:rFonts w:cs="Times New Roman"/>
        </w:rPr>
        <w:t>Table 4. Air quality criteria of Ontario air pollutants</w:t>
      </w:r>
      <w:r>
        <w:rPr>
          <w:rFonts w:cs="Times New Roman"/>
        </w:rPr>
        <w:t xml:space="preserve"> (MECP, 2020)</w:t>
      </w:r>
    </w:p>
    <w:tbl>
      <w:tblPr>
        <w:tblStyle w:val="PlainTable1"/>
        <w:tblW w:w="9355" w:type="dxa"/>
        <w:tblLook w:val="04A0" w:firstRow="1" w:lastRow="0" w:firstColumn="1" w:lastColumn="0" w:noHBand="0" w:noVBand="1"/>
      </w:tblPr>
      <w:tblGrid>
        <w:gridCol w:w="1870"/>
        <w:gridCol w:w="3255"/>
        <w:gridCol w:w="2250"/>
        <w:gridCol w:w="1980"/>
      </w:tblGrid>
      <w:tr w:rsidR="00C230E2" w:rsidRPr="00CA3D66" w14:paraId="67D2041B" w14:textId="77777777" w:rsidTr="00124BC6">
        <w:trPr>
          <w:cnfStyle w:val="100000000000" w:firstRow="1" w:lastRow="0" w:firstColumn="0" w:lastColumn="0" w:oddVBand="0" w:evenVBand="0" w:oddHBand="0"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1870" w:type="dxa"/>
          </w:tcPr>
          <w:p w14:paraId="7838B17C" w14:textId="77777777" w:rsidR="00C230E2" w:rsidRPr="00CA3D66" w:rsidRDefault="00C230E2" w:rsidP="00711065">
            <w:pPr>
              <w:rPr>
                <w:rFonts w:cs="Times New Roman"/>
              </w:rPr>
            </w:pPr>
            <w:r w:rsidRPr="00CA3D66">
              <w:rPr>
                <w:rFonts w:cs="Times New Roman"/>
              </w:rPr>
              <w:t xml:space="preserve">Contaminant </w:t>
            </w:r>
          </w:p>
        </w:tc>
        <w:tc>
          <w:tcPr>
            <w:tcW w:w="3255" w:type="dxa"/>
          </w:tcPr>
          <w:p w14:paraId="31FDCF72" w14:textId="77777777" w:rsidR="00C230E2" w:rsidRPr="00CA3D66" w:rsidRDefault="00C230E2" w:rsidP="00711065">
            <w:pPr>
              <w:cnfStyle w:val="100000000000" w:firstRow="1" w:lastRow="0" w:firstColumn="0" w:lastColumn="0" w:oddVBand="0" w:evenVBand="0" w:oddHBand="0" w:evenHBand="0" w:firstRowFirstColumn="0" w:firstRowLastColumn="0" w:lastRowFirstColumn="0" w:lastRowLastColumn="0"/>
              <w:rPr>
                <w:rFonts w:cs="Times New Roman"/>
              </w:rPr>
            </w:pPr>
            <w:r w:rsidRPr="00CA3D66">
              <w:rPr>
                <w:rFonts w:cs="Times New Roman"/>
              </w:rPr>
              <w:t>Ambient Air Quality Criteria</w:t>
            </w:r>
            <w:r>
              <w:rPr>
                <w:rFonts w:cs="Times New Roman"/>
              </w:rPr>
              <w:t xml:space="preserve"> (Ontario)</w:t>
            </w:r>
          </w:p>
        </w:tc>
        <w:tc>
          <w:tcPr>
            <w:tcW w:w="2250" w:type="dxa"/>
          </w:tcPr>
          <w:p w14:paraId="710C0361" w14:textId="77777777" w:rsidR="00C230E2" w:rsidRPr="00CA3D66" w:rsidRDefault="00C230E2" w:rsidP="00711065">
            <w:pPr>
              <w:cnfStyle w:val="100000000000" w:firstRow="1" w:lastRow="0" w:firstColumn="0" w:lastColumn="0" w:oddVBand="0" w:evenVBand="0" w:oddHBand="0" w:evenHBand="0" w:firstRowFirstColumn="0" w:firstRowLastColumn="0" w:lastRowFirstColumn="0" w:lastRowLastColumn="0"/>
              <w:rPr>
                <w:rFonts w:cs="Times New Roman"/>
              </w:rPr>
            </w:pPr>
            <w:r w:rsidRPr="00CA3D66">
              <w:rPr>
                <w:rFonts w:cs="Times New Roman"/>
              </w:rPr>
              <w:t>Time</w:t>
            </w:r>
          </w:p>
        </w:tc>
        <w:tc>
          <w:tcPr>
            <w:tcW w:w="1980" w:type="dxa"/>
          </w:tcPr>
          <w:p w14:paraId="74EA9E91" w14:textId="77777777" w:rsidR="00C230E2" w:rsidRPr="00CA3D66" w:rsidRDefault="00C230E2" w:rsidP="00711065">
            <w:pPr>
              <w:cnfStyle w:val="100000000000" w:firstRow="1" w:lastRow="0" w:firstColumn="0" w:lastColumn="0" w:oddVBand="0" w:evenVBand="0" w:oddHBand="0" w:evenHBand="0" w:firstRowFirstColumn="0" w:firstRowLastColumn="0" w:lastRowFirstColumn="0" w:lastRowLastColumn="0"/>
              <w:rPr>
                <w:rFonts w:cs="Times New Roman"/>
              </w:rPr>
            </w:pPr>
            <w:r w:rsidRPr="00CA3D66">
              <w:rPr>
                <w:rFonts w:cs="Times New Roman"/>
              </w:rPr>
              <w:t>Basis</w:t>
            </w:r>
          </w:p>
        </w:tc>
      </w:tr>
      <w:tr w:rsidR="00124BC6" w:rsidRPr="00CA3D66" w14:paraId="0EC3D042" w14:textId="77777777" w:rsidTr="00615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Merge w:val="restart"/>
          </w:tcPr>
          <w:p w14:paraId="7EF45B25" w14:textId="63E18EF7" w:rsidR="00124BC6" w:rsidRPr="00124BC6" w:rsidRDefault="00124BC6" w:rsidP="00124BC6">
            <w:pPr>
              <w:jc w:val="center"/>
              <w:rPr>
                <w:rFonts w:cs="Times New Roman"/>
                <w:b w:val="0"/>
                <w:bCs w:val="0"/>
              </w:rPr>
            </w:pPr>
            <w:r w:rsidRPr="00CA3D66">
              <w:rPr>
                <w:rFonts w:cs="Times New Roman"/>
              </w:rPr>
              <w:t>NO2</w:t>
            </w:r>
          </w:p>
        </w:tc>
        <w:tc>
          <w:tcPr>
            <w:tcW w:w="3255" w:type="dxa"/>
          </w:tcPr>
          <w:p w14:paraId="7F598463" w14:textId="77777777" w:rsidR="00124BC6" w:rsidRPr="00CA3D66" w:rsidRDefault="00124BC6" w:rsidP="00711065">
            <w:pPr>
              <w:cnfStyle w:val="000000100000" w:firstRow="0" w:lastRow="0" w:firstColumn="0" w:lastColumn="0" w:oddVBand="0" w:evenVBand="0" w:oddHBand="1" w:evenHBand="0" w:firstRowFirstColumn="0" w:firstRowLastColumn="0" w:lastRowFirstColumn="0" w:lastRowLastColumn="0"/>
              <w:rPr>
                <w:rFonts w:cs="Times New Roman"/>
              </w:rPr>
            </w:pPr>
            <w:r w:rsidRPr="00CA3D66">
              <w:rPr>
                <w:rFonts w:cs="Times New Roman"/>
              </w:rPr>
              <w:t>200 (0.10 ppm)</w:t>
            </w:r>
          </w:p>
        </w:tc>
        <w:tc>
          <w:tcPr>
            <w:tcW w:w="2250" w:type="dxa"/>
          </w:tcPr>
          <w:p w14:paraId="2838C42D" w14:textId="77777777" w:rsidR="00124BC6" w:rsidRPr="00CA3D66" w:rsidRDefault="00124BC6" w:rsidP="00711065">
            <w:pPr>
              <w:cnfStyle w:val="000000100000" w:firstRow="0" w:lastRow="0" w:firstColumn="0" w:lastColumn="0" w:oddVBand="0" w:evenVBand="0" w:oddHBand="1" w:evenHBand="0" w:firstRowFirstColumn="0" w:firstRowLastColumn="0" w:lastRowFirstColumn="0" w:lastRowLastColumn="0"/>
              <w:rPr>
                <w:rFonts w:cs="Times New Roman"/>
              </w:rPr>
            </w:pPr>
            <w:r w:rsidRPr="00CA3D66">
              <w:rPr>
                <w:rFonts w:cs="Times New Roman"/>
              </w:rPr>
              <w:t>24-hour</w:t>
            </w:r>
          </w:p>
        </w:tc>
        <w:tc>
          <w:tcPr>
            <w:tcW w:w="1980" w:type="dxa"/>
          </w:tcPr>
          <w:p w14:paraId="24CAAFB7" w14:textId="77777777" w:rsidR="00124BC6" w:rsidRPr="00CA3D66" w:rsidRDefault="00124BC6" w:rsidP="00711065">
            <w:pPr>
              <w:cnfStyle w:val="000000100000" w:firstRow="0" w:lastRow="0" w:firstColumn="0" w:lastColumn="0" w:oddVBand="0" w:evenVBand="0" w:oddHBand="1" w:evenHBand="0" w:firstRowFirstColumn="0" w:firstRowLastColumn="0" w:lastRowFirstColumn="0" w:lastRowLastColumn="0"/>
              <w:rPr>
                <w:rFonts w:cs="Times New Roman"/>
              </w:rPr>
            </w:pPr>
            <w:r w:rsidRPr="00CA3D66">
              <w:rPr>
                <w:rFonts w:cs="Times New Roman"/>
              </w:rPr>
              <w:t>Health</w:t>
            </w:r>
          </w:p>
        </w:tc>
      </w:tr>
      <w:tr w:rsidR="00124BC6" w:rsidRPr="00CA3D66" w14:paraId="2BAABE3E" w14:textId="77777777" w:rsidTr="006151DB">
        <w:tc>
          <w:tcPr>
            <w:cnfStyle w:val="001000000000" w:firstRow="0" w:lastRow="0" w:firstColumn="1" w:lastColumn="0" w:oddVBand="0" w:evenVBand="0" w:oddHBand="0" w:evenHBand="0" w:firstRowFirstColumn="0" w:firstRowLastColumn="0" w:lastRowFirstColumn="0" w:lastRowLastColumn="0"/>
            <w:tcW w:w="1870" w:type="dxa"/>
            <w:vMerge/>
          </w:tcPr>
          <w:p w14:paraId="0919201D" w14:textId="3370457A" w:rsidR="00124BC6" w:rsidRPr="00CA3D66" w:rsidRDefault="00124BC6" w:rsidP="00711065">
            <w:pPr>
              <w:rPr>
                <w:rFonts w:cs="Times New Roman"/>
              </w:rPr>
            </w:pPr>
          </w:p>
        </w:tc>
        <w:tc>
          <w:tcPr>
            <w:tcW w:w="3255" w:type="dxa"/>
          </w:tcPr>
          <w:p w14:paraId="23F1AB7D" w14:textId="77777777" w:rsidR="00124BC6" w:rsidRPr="00CA3D66" w:rsidRDefault="00124BC6" w:rsidP="00711065">
            <w:pPr>
              <w:cnfStyle w:val="000000000000" w:firstRow="0" w:lastRow="0" w:firstColumn="0" w:lastColumn="0" w:oddVBand="0" w:evenVBand="0" w:oddHBand="0" w:evenHBand="0" w:firstRowFirstColumn="0" w:firstRowLastColumn="0" w:lastRowFirstColumn="0" w:lastRowLastColumn="0"/>
              <w:rPr>
                <w:rFonts w:cs="Times New Roman"/>
              </w:rPr>
            </w:pPr>
            <w:r w:rsidRPr="00CA3D66">
              <w:rPr>
                <w:rFonts w:cs="Times New Roman"/>
              </w:rPr>
              <w:t>400 (0.20 ppm)</w:t>
            </w:r>
          </w:p>
        </w:tc>
        <w:tc>
          <w:tcPr>
            <w:tcW w:w="2250" w:type="dxa"/>
          </w:tcPr>
          <w:p w14:paraId="094CA1AC" w14:textId="77777777" w:rsidR="00124BC6" w:rsidRPr="00CA3D66" w:rsidRDefault="00124BC6" w:rsidP="00711065">
            <w:pPr>
              <w:cnfStyle w:val="000000000000" w:firstRow="0" w:lastRow="0" w:firstColumn="0" w:lastColumn="0" w:oddVBand="0" w:evenVBand="0" w:oddHBand="0" w:evenHBand="0" w:firstRowFirstColumn="0" w:firstRowLastColumn="0" w:lastRowFirstColumn="0" w:lastRowLastColumn="0"/>
              <w:rPr>
                <w:rFonts w:cs="Times New Roman"/>
              </w:rPr>
            </w:pPr>
            <w:r w:rsidRPr="00CA3D66">
              <w:rPr>
                <w:rFonts w:cs="Times New Roman"/>
              </w:rPr>
              <w:t>1-hour</w:t>
            </w:r>
          </w:p>
        </w:tc>
        <w:tc>
          <w:tcPr>
            <w:tcW w:w="1980" w:type="dxa"/>
          </w:tcPr>
          <w:p w14:paraId="5BE2ECFE" w14:textId="77777777" w:rsidR="00124BC6" w:rsidRPr="00CA3D66" w:rsidRDefault="00124BC6" w:rsidP="00711065">
            <w:pPr>
              <w:cnfStyle w:val="000000000000" w:firstRow="0" w:lastRow="0" w:firstColumn="0" w:lastColumn="0" w:oddVBand="0" w:evenVBand="0" w:oddHBand="0" w:evenHBand="0" w:firstRowFirstColumn="0" w:firstRowLastColumn="0" w:lastRowFirstColumn="0" w:lastRowLastColumn="0"/>
              <w:rPr>
                <w:rFonts w:cs="Times New Roman"/>
              </w:rPr>
            </w:pPr>
            <w:r w:rsidRPr="00CA3D66">
              <w:rPr>
                <w:rFonts w:cs="Times New Roman"/>
              </w:rPr>
              <w:t xml:space="preserve">Health </w:t>
            </w:r>
          </w:p>
        </w:tc>
      </w:tr>
      <w:tr w:rsidR="00124BC6" w:rsidRPr="00CA3D66" w14:paraId="71AB31CC" w14:textId="77777777" w:rsidTr="00615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Merge w:val="restart"/>
          </w:tcPr>
          <w:p w14:paraId="50510E90" w14:textId="77777777" w:rsidR="00124BC6" w:rsidRPr="00CA3D66" w:rsidRDefault="00124BC6" w:rsidP="00124BC6">
            <w:pPr>
              <w:jc w:val="center"/>
              <w:rPr>
                <w:rFonts w:cs="Times New Roman"/>
              </w:rPr>
            </w:pPr>
            <w:r w:rsidRPr="00CA3D66">
              <w:rPr>
                <w:rFonts w:cs="Times New Roman"/>
              </w:rPr>
              <w:t>CO</w:t>
            </w:r>
          </w:p>
        </w:tc>
        <w:tc>
          <w:tcPr>
            <w:tcW w:w="3255" w:type="dxa"/>
          </w:tcPr>
          <w:p w14:paraId="50A89370" w14:textId="77777777" w:rsidR="00124BC6" w:rsidRPr="00CA3D66" w:rsidRDefault="00124BC6" w:rsidP="00711065">
            <w:pPr>
              <w:cnfStyle w:val="000000100000" w:firstRow="0" w:lastRow="0" w:firstColumn="0" w:lastColumn="0" w:oddVBand="0" w:evenVBand="0" w:oddHBand="1" w:evenHBand="0" w:firstRowFirstColumn="0" w:firstRowLastColumn="0" w:lastRowFirstColumn="0" w:lastRowLastColumn="0"/>
              <w:rPr>
                <w:rFonts w:cs="Times New Roman"/>
              </w:rPr>
            </w:pPr>
            <w:r w:rsidRPr="00CA3D66">
              <w:rPr>
                <w:rFonts w:cs="Times New Roman"/>
              </w:rPr>
              <w:t>36,200 (30 ppm)</w:t>
            </w:r>
          </w:p>
        </w:tc>
        <w:tc>
          <w:tcPr>
            <w:tcW w:w="2250" w:type="dxa"/>
          </w:tcPr>
          <w:p w14:paraId="6E2D0374" w14:textId="77777777" w:rsidR="00124BC6" w:rsidRPr="00CA3D66" w:rsidRDefault="00124BC6" w:rsidP="00711065">
            <w:pPr>
              <w:cnfStyle w:val="000000100000" w:firstRow="0" w:lastRow="0" w:firstColumn="0" w:lastColumn="0" w:oddVBand="0" w:evenVBand="0" w:oddHBand="1" w:evenHBand="0" w:firstRowFirstColumn="0" w:firstRowLastColumn="0" w:lastRowFirstColumn="0" w:lastRowLastColumn="0"/>
              <w:rPr>
                <w:rFonts w:cs="Times New Roman"/>
              </w:rPr>
            </w:pPr>
            <w:r w:rsidRPr="00CA3D66">
              <w:rPr>
                <w:rFonts w:cs="Times New Roman"/>
              </w:rPr>
              <w:t>1-hour</w:t>
            </w:r>
          </w:p>
        </w:tc>
        <w:tc>
          <w:tcPr>
            <w:tcW w:w="1980" w:type="dxa"/>
          </w:tcPr>
          <w:p w14:paraId="4FEA7C31" w14:textId="77777777" w:rsidR="00124BC6" w:rsidRPr="00CA3D66" w:rsidRDefault="00124BC6" w:rsidP="00711065">
            <w:pPr>
              <w:cnfStyle w:val="000000100000" w:firstRow="0" w:lastRow="0" w:firstColumn="0" w:lastColumn="0" w:oddVBand="0" w:evenVBand="0" w:oddHBand="1" w:evenHBand="0" w:firstRowFirstColumn="0" w:firstRowLastColumn="0" w:lastRowFirstColumn="0" w:lastRowLastColumn="0"/>
              <w:rPr>
                <w:rFonts w:cs="Times New Roman"/>
              </w:rPr>
            </w:pPr>
            <w:r w:rsidRPr="00CA3D66">
              <w:rPr>
                <w:rFonts w:cs="Times New Roman"/>
              </w:rPr>
              <w:t>Health</w:t>
            </w:r>
          </w:p>
        </w:tc>
      </w:tr>
      <w:tr w:rsidR="00124BC6" w:rsidRPr="00CA3D66" w14:paraId="34832A9E" w14:textId="77777777" w:rsidTr="006151DB">
        <w:tc>
          <w:tcPr>
            <w:cnfStyle w:val="001000000000" w:firstRow="0" w:lastRow="0" w:firstColumn="1" w:lastColumn="0" w:oddVBand="0" w:evenVBand="0" w:oddHBand="0" w:evenHBand="0" w:firstRowFirstColumn="0" w:firstRowLastColumn="0" w:lastRowFirstColumn="0" w:lastRowLastColumn="0"/>
            <w:tcW w:w="1870" w:type="dxa"/>
            <w:vMerge/>
          </w:tcPr>
          <w:p w14:paraId="4FA262AF" w14:textId="5F367CB6" w:rsidR="00124BC6" w:rsidRPr="00CA3D66" w:rsidRDefault="00124BC6" w:rsidP="00711065">
            <w:pPr>
              <w:rPr>
                <w:rFonts w:cs="Times New Roman"/>
              </w:rPr>
            </w:pPr>
          </w:p>
        </w:tc>
        <w:tc>
          <w:tcPr>
            <w:tcW w:w="3255" w:type="dxa"/>
          </w:tcPr>
          <w:p w14:paraId="23B0ABEB" w14:textId="77777777" w:rsidR="00124BC6" w:rsidRPr="00CA3D66" w:rsidRDefault="00124BC6" w:rsidP="00711065">
            <w:pPr>
              <w:cnfStyle w:val="000000000000" w:firstRow="0" w:lastRow="0" w:firstColumn="0" w:lastColumn="0" w:oddVBand="0" w:evenVBand="0" w:oddHBand="0" w:evenHBand="0" w:firstRowFirstColumn="0" w:firstRowLastColumn="0" w:lastRowFirstColumn="0" w:lastRowLastColumn="0"/>
              <w:rPr>
                <w:rFonts w:cs="Times New Roman"/>
              </w:rPr>
            </w:pPr>
            <w:r w:rsidRPr="00CA3D66">
              <w:rPr>
                <w:rFonts w:cs="Times New Roman"/>
              </w:rPr>
              <w:t>15,700 (13 ppm)</w:t>
            </w:r>
          </w:p>
        </w:tc>
        <w:tc>
          <w:tcPr>
            <w:tcW w:w="2250" w:type="dxa"/>
          </w:tcPr>
          <w:p w14:paraId="4BC00FC4" w14:textId="77777777" w:rsidR="00124BC6" w:rsidRPr="00CA3D66" w:rsidRDefault="00124BC6" w:rsidP="00711065">
            <w:pPr>
              <w:cnfStyle w:val="000000000000" w:firstRow="0" w:lastRow="0" w:firstColumn="0" w:lastColumn="0" w:oddVBand="0" w:evenVBand="0" w:oddHBand="0" w:evenHBand="0" w:firstRowFirstColumn="0" w:firstRowLastColumn="0" w:lastRowFirstColumn="0" w:lastRowLastColumn="0"/>
              <w:rPr>
                <w:rFonts w:cs="Times New Roman"/>
              </w:rPr>
            </w:pPr>
            <w:r w:rsidRPr="00CA3D66">
              <w:rPr>
                <w:rFonts w:cs="Times New Roman"/>
              </w:rPr>
              <w:t>8-hour</w:t>
            </w:r>
          </w:p>
        </w:tc>
        <w:tc>
          <w:tcPr>
            <w:tcW w:w="1980" w:type="dxa"/>
          </w:tcPr>
          <w:p w14:paraId="2229B14A" w14:textId="77777777" w:rsidR="00124BC6" w:rsidRPr="00CA3D66" w:rsidRDefault="00124BC6" w:rsidP="00711065">
            <w:pPr>
              <w:cnfStyle w:val="000000000000" w:firstRow="0" w:lastRow="0" w:firstColumn="0" w:lastColumn="0" w:oddVBand="0" w:evenVBand="0" w:oddHBand="0" w:evenHBand="0" w:firstRowFirstColumn="0" w:firstRowLastColumn="0" w:lastRowFirstColumn="0" w:lastRowLastColumn="0"/>
              <w:rPr>
                <w:rFonts w:cs="Times New Roman"/>
              </w:rPr>
            </w:pPr>
            <w:r w:rsidRPr="00CA3D66">
              <w:rPr>
                <w:rFonts w:cs="Times New Roman"/>
              </w:rPr>
              <w:t>Health</w:t>
            </w:r>
          </w:p>
        </w:tc>
      </w:tr>
      <w:tr w:rsidR="00124BC6" w:rsidRPr="00CA3D66" w14:paraId="2B115022" w14:textId="77777777" w:rsidTr="00615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Merge w:val="restart"/>
          </w:tcPr>
          <w:p w14:paraId="333541E6" w14:textId="77777777" w:rsidR="00124BC6" w:rsidRPr="00CA3D66" w:rsidRDefault="00124BC6" w:rsidP="00124BC6">
            <w:pPr>
              <w:jc w:val="center"/>
              <w:rPr>
                <w:rFonts w:cs="Times New Roman"/>
                <w:b w:val="0"/>
                <w:bCs w:val="0"/>
              </w:rPr>
            </w:pPr>
            <w:r w:rsidRPr="00CA3D66">
              <w:rPr>
                <w:rFonts w:cs="Times New Roman"/>
              </w:rPr>
              <w:t>SO2</w:t>
            </w:r>
          </w:p>
          <w:p w14:paraId="2706B4DC" w14:textId="72BD6C15" w:rsidR="00124BC6" w:rsidRPr="00CA3D66" w:rsidRDefault="00124BC6" w:rsidP="00711065">
            <w:pPr>
              <w:rPr>
                <w:rFonts w:cs="Times New Roman"/>
              </w:rPr>
            </w:pPr>
          </w:p>
        </w:tc>
        <w:tc>
          <w:tcPr>
            <w:tcW w:w="3255" w:type="dxa"/>
          </w:tcPr>
          <w:p w14:paraId="47551E02" w14:textId="77777777" w:rsidR="00124BC6" w:rsidRPr="00CA3D66" w:rsidRDefault="00124BC6" w:rsidP="00711065">
            <w:pPr>
              <w:cnfStyle w:val="000000100000" w:firstRow="0" w:lastRow="0" w:firstColumn="0" w:lastColumn="0" w:oddVBand="0" w:evenVBand="0" w:oddHBand="1" w:evenHBand="0" w:firstRowFirstColumn="0" w:firstRowLastColumn="0" w:lastRowFirstColumn="0" w:lastRowLastColumn="0"/>
              <w:rPr>
                <w:rFonts w:cs="Times New Roman"/>
              </w:rPr>
            </w:pPr>
            <w:r w:rsidRPr="00CA3D66">
              <w:rPr>
                <w:rFonts w:cs="Times New Roman"/>
              </w:rPr>
              <w:t>40 ppb</w:t>
            </w:r>
          </w:p>
        </w:tc>
        <w:tc>
          <w:tcPr>
            <w:tcW w:w="2250" w:type="dxa"/>
          </w:tcPr>
          <w:p w14:paraId="276D1483" w14:textId="77777777" w:rsidR="00124BC6" w:rsidRPr="00CA3D66" w:rsidRDefault="00124BC6" w:rsidP="00711065">
            <w:pPr>
              <w:cnfStyle w:val="000000100000" w:firstRow="0" w:lastRow="0" w:firstColumn="0" w:lastColumn="0" w:oddVBand="0" w:evenVBand="0" w:oddHBand="1" w:evenHBand="0" w:firstRowFirstColumn="0" w:firstRowLastColumn="0" w:lastRowFirstColumn="0" w:lastRowLastColumn="0"/>
              <w:rPr>
                <w:rFonts w:cs="Times New Roman"/>
              </w:rPr>
            </w:pPr>
            <w:r w:rsidRPr="00CA3D66">
              <w:rPr>
                <w:rFonts w:cs="Times New Roman"/>
              </w:rPr>
              <w:t>1-hour</w:t>
            </w:r>
          </w:p>
        </w:tc>
        <w:tc>
          <w:tcPr>
            <w:tcW w:w="1980" w:type="dxa"/>
          </w:tcPr>
          <w:p w14:paraId="1EB89AA4" w14:textId="77777777" w:rsidR="00124BC6" w:rsidRPr="00CA3D66" w:rsidRDefault="00124BC6" w:rsidP="00711065">
            <w:pPr>
              <w:cnfStyle w:val="000000100000" w:firstRow="0" w:lastRow="0" w:firstColumn="0" w:lastColumn="0" w:oddVBand="0" w:evenVBand="0" w:oddHBand="1" w:evenHBand="0" w:firstRowFirstColumn="0" w:firstRowLastColumn="0" w:lastRowFirstColumn="0" w:lastRowLastColumn="0"/>
              <w:rPr>
                <w:rFonts w:cs="Times New Roman"/>
              </w:rPr>
            </w:pPr>
            <w:r w:rsidRPr="00CA3D66">
              <w:rPr>
                <w:rFonts w:cs="Times New Roman"/>
              </w:rPr>
              <w:t xml:space="preserve">Health </w:t>
            </w:r>
          </w:p>
        </w:tc>
      </w:tr>
      <w:tr w:rsidR="00124BC6" w:rsidRPr="00CA3D66" w14:paraId="52C08E26" w14:textId="77777777" w:rsidTr="006151DB">
        <w:tc>
          <w:tcPr>
            <w:cnfStyle w:val="001000000000" w:firstRow="0" w:lastRow="0" w:firstColumn="1" w:lastColumn="0" w:oddVBand="0" w:evenVBand="0" w:oddHBand="0" w:evenHBand="0" w:firstRowFirstColumn="0" w:firstRowLastColumn="0" w:lastRowFirstColumn="0" w:lastRowLastColumn="0"/>
            <w:tcW w:w="1870" w:type="dxa"/>
            <w:vMerge/>
          </w:tcPr>
          <w:p w14:paraId="523BF7ED" w14:textId="1A0C70E4" w:rsidR="00124BC6" w:rsidRPr="00CA3D66" w:rsidRDefault="00124BC6" w:rsidP="00711065">
            <w:pPr>
              <w:rPr>
                <w:rFonts w:cs="Times New Roman"/>
              </w:rPr>
            </w:pPr>
          </w:p>
        </w:tc>
        <w:tc>
          <w:tcPr>
            <w:tcW w:w="3255" w:type="dxa"/>
          </w:tcPr>
          <w:p w14:paraId="61A31530" w14:textId="77777777" w:rsidR="00124BC6" w:rsidRPr="00CA3D66" w:rsidRDefault="00124BC6" w:rsidP="00711065">
            <w:pPr>
              <w:cnfStyle w:val="000000000000" w:firstRow="0" w:lastRow="0" w:firstColumn="0" w:lastColumn="0" w:oddVBand="0" w:evenVBand="0" w:oddHBand="0" w:evenHBand="0" w:firstRowFirstColumn="0" w:firstRowLastColumn="0" w:lastRowFirstColumn="0" w:lastRowLastColumn="0"/>
              <w:rPr>
                <w:rFonts w:cs="Times New Roman"/>
              </w:rPr>
            </w:pPr>
            <w:r w:rsidRPr="00CA3D66">
              <w:rPr>
                <w:rFonts w:cs="Times New Roman"/>
              </w:rPr>
              <w:t>67 ppb</w:t>
            </w:r>
          </w:p>
        </w:tc>
        <w:tc>
          <w:tcPr>
            <w:tcW w:w="2250" w:type="dxa"/>
          </w:tcPr>
          <w:p w14:paraId="4870C753" w14:textId="77777777" w:rsidR="00124BC6" w:rsidRPr="00CA3D66" w:rsidRDefault="00124BC6" w:rsidP="00711065">
            <w:pPr>
              <w:cnfStyle w:val="000000000000" w:firstRow="0" w:lastRow="0" w:firstColumn="0" w:lastColumn="0" w:oddVBand="0" w:evenVBand="0" w:oddHBand="0" w:evenHBand="0" w:firstRowFirstColumn="0" w:firstRowLastColumn="0" w:lastRowFirstColumn="0" w:lastRowLastColumn="0"/>
              <w:rPr>
                <w:rFonts w:cs="Times New Roman"/>
              </w:rPr>
            </w:pPr>
            <w:r w:rsidRPr="00CA3D66">
              <w:rPr>
                <w:rFonts w:cs="Times New Roman"/>
              </w:rPr>
              <w:t>10-Minutes</w:t>
            </w:r>
          </w:p>
        </w:tc>
        <w:tc>
          <w:tcPr>
            <w:tcW w:w="1980" w:type="dxa"/>
          </w:tcPr>
          <w:p w14:paraId="299BA2C8" w14:textId="77777777" w:rsidR="00124BC6" w:rsidRPr="00CA3D66" w:rsidRDefault="00124BC6" w:rsidP="00711065">
            <w:pPr>
              <w:cnfStyle w:val="000000000000" w:firstRow="0" w:lastRow="0" w:firstColumn="0" w:lastColumn="0" w:oddVBand="0" w:evenVBand="0" w:oddHBand="0" w:evenHBand="0" w:firstRowFirstColumn="0" w:firstRowLastColumn="0" w:lastRowFirstColumn="0" w:lastRowLastColumn="0"/>
              <w:rPr>
                <w:rFonts w:cs="Times New Roman"/>
              </w:rPr>
            </w:pPr>
            <w:r w:rsidRPr="00CA3D66">
              <w:rPr>
                <w:rFonts w:cs="Times New Roman"/>
              </w:rPr>
              <w:t xml:space="preserve">Health </w:t>
            </w:r>
          </w:p>
        </w:tc>
      </w:tr>
      <w:tr w:rsidR="00124BC6" w:rsidRPr="00CA3D66" w14:paraId="6BF31178" w14:textId="77777777" w:rsidTr="00615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Merge/>
          </w:tcPr>
          <w:p w14:paraId="401A2A30" w14:textId="5510C2B5" w:rsidR="00124BC6" w:rsidRPr="00CA3D66" w:rsidRDefault="00124BC6" w:rsidP="00711065">
            <w:pPr>
              <w:rPr>
                <w:rFonts w:cs="Times New Roman"/>
              </w:rPr>
            </w:pPr>
          </w:p>
        </w:tc>
        <w:tc>
          <w:tcPr>
            <w:tcW w:w="3255" w:type="dxa"/>
          </w:tcPr>
          <w:p w14:paraId="46D139DF" w14:textId="77777777" w:rsidR="00124BC6" w:rsidRPr="00CA3D66" w:rsidRDefault="00124BC6" w:rsidP="00711065">
            <w:pPr>
              <w:cnfStyle w:val="000000100000" w:firstRow="0" w:lastRow="0" w:firstColumn="0" w:lastColumn="0" w:oddVBand="0" w:evenVBand="0" w:oddHBand="1" w:evenHBand="0" w:firstRowFirstColumn="0" w:firstRowLastColumn="0" w:lastRowFirstColumn="0" w:lastRowLastColumn="0"/>
              <w:rPr>
                <w:rFonts w:cs="Times New Roman"/>
              </w:rPr>
            </w:pPr>
            <w:r w:rsidRPr="00CA3D66">
              <w:rPr>
                <w:rFonts w:cs="Times New Roman"/>
              </w:rPr>
              <w:t>4 ppb</w:t>
            </w:r>
          </w:p>
        </w:tc>
        <w:tc>
          <w:tcPr>
            <w:tcW w:w="2250" w:type="dxa"/>
          </w:tcPr>
          <w:p w14:paraId="63A5EFF5" w14:textId="77777777" w:rsidR="00124BC6" w:rsidRPr="00CA3D66" w:rsidRDefault="00124BC6" w:rsidP="00711065">
            <w:pPr>
              <w:cnfStyle w:val="000000100000" w:firstRow="0" w:lastRow="0" w:firstColumn="0" w:lastColumn="0" w:oddVBand="0" w:evenVBand="0" w:oddHBand="1" w:evenHBand="0" w:firstRowFirstColumn="0" w:firstRowLastColumn="0" w:lastRowFirstColumn="0" w:lastRowLastColumn="0"/>
              <w:rPr>
                <w:rFonts w:cs="Times New Roman"/>
              </w:rPr>
            </w:pPr>
            <w:r w:rsidRPr="00CA3D66">
              <w:rPr>
                <w:rFonts w:cs="Times New Roman"/>
              </w:rPr>
              <w:t>Annual</w:t>
            </w:r>
          </w:p>
        </w:tc>
        <w:tc>
          <w:tcPr>
            <w:tcW w:w="1980" w:type="dxa"/>
          </w:tcPr>
          <w:p w14:paraId="6FF382F0" w14:textId="77777777" w:rsidR="00124BC6" w:rsidRPr="00CA3D66" w:rsidRDefault="00124BC6" w:rsidP="00711065">
            <w:pPr>
              <w:cnfStyle w:val="000000100000" w:firstRow="0" w:lastRow="0" w:firstColumn="0" w:lastColumn="0" w:oddVBand="0" w:evenVBand="0" w:oddHBand="1" w:evenHBand="0" w:firstRowFirstColumn="0" w:firstRowLastColumn="0" w:lastRowFirstColumn="0" w:lastRowLastColumn="0"/>
              <w:rPr>
                <w:rFonts w:cs="Times New Roman"/>
              </w:rPr>
            </w:pPr>
            <w:r w:rsidRPr="00CA3D66">
              <w:rPr>
                <w:rFonts w:cs="Times New Roman"/>
              </w:rPr>
              <w:t>Vegetation</w:t>
            </w:r>
          </w:p>
        </w:tc>
      </w:tr>
    </w:tbl>
    <w:p w14:paraId="364A7F00" w14:textId="2AA8DA0D" w:rsidR="007A2F0E" w:rsidRPr="00CA3D66" w:rsidRDefault="007A2F0E" w:rsidP="00E36244">
      <w:pPr>
        <w:pStyle w:val="Heading1"/>
      </w:pPr>
      <w:bookmarkStart w:id="14" w:name="_Toc57341049"/>
      <w:bookmarkStart w:id="15" w:name="_Toc57522003"/>
      <w:r>
        <w:lastRenderedPageBreak/>
        <w:t>T</w:t>
      </w:r>
      <w:r w:rsidRPr="00CA3D66">
        <w:t>ypes of air pollutants emitted by a coal fired power plant without adequate pollution controls, their dispersal and their impacts on ecosystems</w:t>
      </w:r>
      <w:bookmarkEnd w:id="14"/>
      <w:bookmarkEnd w:id="15"/>
    </w:p>
    <w:p w14:paraId="62F6FF9C" w14:textId="77777777" w:rsidR="007A2F0E" w:rsidRPr="00CA3D66" w:rsidRDefault="007A2F0E" w:rsidP="00124BC6">
      <w:pPr>
        <w:spacing w:line="480" w:lineRule="auto"/>
        <w:ind w:firstLine="720"/>
        <w:rPr>
          <w:rFonts w:cs="Times New Roman"/>
        </w:rPr>
      </w:pPr>
      <w:r w:rsidRPr="00CA3D66">
        <w:rPr>
          <w:rFonts w:cs="Times New Roman"/>
        </w:rPr>
        <w:t xml:space="preserve">The major pollutants that are created by the coal fired power plants </w:t>
      </w:r>
      <w:r>
        <w:rPr>
          <w:rFonts w:cs="Times New Roman"/>
        </w:rPr>
        <w:t xml:space="preserve">include heavy metals, </w:t>
      </w:r>
      <w:r w:rsidRPr="009E6195">
        <w:rPr>
          <w:rFonts w:cs="Times New Roman"/>
        </w:rPr>
        <w:t>lead,</w:t>
      </w:r>
      <w:r>
        <w:rPr>
          <w:rFonts w:cs="Times New Roman"/>
        </w:rPr>
        <w:t xml:space="preserve"> copper, </w:t>
      </w:r>
      <w:r w:rsidRPr="009E6195">
        <w:rPr>
          <w:rFonts w:cs="Times New Roman"/>
        </w:rPr>
        <w:t>Chromium</w:t>
      </w:r>
      <w:r>
        <w:rPr>
          <w:rFonts w:cs="Times New Roman"/>
        </w:rPr>
        <w:t>,</w:t>
      </w:r>
      <w:r w:rsidRPr="009E6195">
        <w:rPr>
          <w:rFonts w:cs="Times New Roman"/>
        </w:rPr>
        <w:t xml:space="preserve"> </w:t>
      </w:r>
      <w:r w:rsidRPr="00CA3D66">
        <w:rPr>
          <w:rFonts w:cs="Times New Roman"/>
        </w:rPr>
        <w:t>mercury, lead, Sulphur dioxide, nitrogen oxides along with other</w:t>
      </w:r>
      <w:r>
        <w:rPr>
          <w:rFonts w:cs="Times New Roman"/>
        </w:rPr>
        <w:t xml:space="preserve"> environmental pollutants </w:t>
      </w:r>
      <w:r w:rsidRPr="009E6195">
        <w:rPr>
          <w:rFonts w:cs="Times New Roman"/>
        </w:rPr>
        <w:t>(</w:t>
      </w:r>
      <w:proofErr w:type="spellStart"/>
      <w:r w:rsidRPr="009E6195">
        <w:rPr>
          <w:rFonts w:cs="Times New Roman"/>
        </w:rPr>
        <w:t>Nagajyoti</w:t>
      </w:r>
      <w:proofErr w:type="spellEnd"/>
      <w:r w:rsidRPr="009E6195">
        <w:rPr>
          <w:rFonts w:cs="Times New Roman"/>
        </w:rPr>
        <w:t xml:space="preserve"> et al., 2010)</w:t>
      </w:r>
      <w:r w:rsidRPr="00CA3D66">
        <w:rPr>
          <w:rFonts w:cs="Times New Roman"/>
        </w:rPr>
        <w:t>. Canada relies on 33.4% natural gas, 45% on crude oil, 6.6% on hydro, 6.2% upon coal, 1.6% upon nuclear, 3.7% on NGLS and 3.5% upon other renewable resources</w:t>
      </w:r>
      <w:r>
        <w:rPr>
          <w:rFonts w:cs="Times New Roman"/>
        </w:rPr>
        <w:t xml:space="preserve"> </w:t>
      </w:r>
      <w:r w:rsidRPr="009E6195">
        <w:rPr>
          <w:rFonts w:cs="Times New Roman"/>
        </w:rPr>
        <w:t>(BP Statistical Review of World Energy, 2019)</w:t>
      </w:r>
      <w:r w:rsidRPr="00CA3D66">
        <w:rPr>
          <w:rFonts w:cs="Times New Roman"/>
        </w:rPr>
        <w:t>. Th</w:t>
      </w:r>
      <w:r>
        <w:rPr>
          <w:rFonts w:cs="Times New Roman"/>
        </w:rPr>
        <w:t>e production</w:t>
      </w:r>
      <w:r w:rsidRPr="00CA3D66">
        <w:rPr>
          <w:rFonts w:cs="Times New Roman"/>
        </w:rPr>
        <w:t xml:space="preserve"> of energy through coal</w:t>
      </w:r>
      <w:r w:rsidRPr="00D04F7F">
        <w:rPr>
          <w:rFonts w:cs="Times New Roman"/>
        </w:rPr>
        <w:t xml:space="preserve"> </w:t>
      </w:r>
      <w:r w:rsidRPr="00CA3D66">
        <w:rPr>
          <w:rFonts w:cs="Times New Roman"/>
        </w:rPr>
        <w:t>fired power plants is damaging the whole eco-system</w:t>
      </w:r>
      <w:r>
        <w:rPr>
          <w:rFonts w:cs="Times New Roman"/>
        </w:rPr>
        <w:t xml:space="preserve"> through high level of greenhouse gas emission that could be controlled through the effective </w:t>
      </w:r>
      <w:r w:rsidRPr="00D04F7F">
        <w:rPr>
          <w:rFonts w:cs="Times New Roman"/>
        </w:rPr>
        <w:t>implementation of modern technologies</w:t>
      </w:r>
      <w:r>
        <w:rPr>
          <w:rFonts w:cs="Times New Roman"/>
        </w:rPr>
        <w:t xml:space="preserve">. These emissions could have adverse effects on human health such as respiratory issues and carcinogens. Moreover, the lands are disrupted and climate change disturbs the seasonal changes </w:t>
      </w:r>
      <w:r w:rsidRPr="00D4044F">
        <w:rPr>
          <w:rFonts w:cs="Times New Roman"/>
        </w:rPr>
        <w:t>(</w:t>
      </w:r>
      <w:proofErr w:type="spellStart"/>
      <w:r w:rsidRPr="00D4044F">
        <w:rPr>
          <w:rFonts w:cs="Times New Roman"/>
        </w:rPr>
        <w:t>Dzikuć</w:t>
      </w:r>
      <w:proofErr w:type="spellEnd"/>
      <w:r w:rsidRPr="00D4044F">
        <w:rPr>
          <w:rFonts w:cs="Times New Roman"/>
        </w:rPr>
        <w:t xml:space="preserve"> &amp; Piwowar, 2015)</w:t>
      </w:r>
      <w:r>
        <w:rPr>
          <w:rFonts w:cs="Times New Roman"/>
        </w:rPr>
        <w:t xml:space="preserve">. Additionally, </w:t>
      </w:r>
      <w:r w:rsidRPr="00CA3D66">
        <w:rPr>
          <w:rFonts w:cs="Times New Roman"/>
        </w:rPr>
        <w:t>Sulphur dioxide</w:t>
      </w:r>
      <w:r>
        <w:rPr>
          <w:rFonts w:cs="Times New Roman"/>
        </w:rPr>
        <w:t xml:space="preserve"> emissions are the</w:t>
      </w:r>
      <w:r w:rsidRPr="00CA3D66">
        <w:rPr>
          <w:rFonts w:cs="Times New Roman"/>
        </w:rPr>
        <w:t xml:space="preserve"> main contributor in causing Acid Rain</w:t>
      </w:r>
      <w:r>
        <w:rPr>
          <w:rFonts w:cs="Times New Roman"/>
        </w:rPr>
        <w:t xml:space="preserve"> that affect our eco-system</w:t>
      </w:r>
      <w:r w:rsidRPr="00CA3D66">
        <w:rPr>
          <w:rFonts w:cs="Times New Roman"/>
        </w:rPr>
        <w:t>,</w:t>
      </w:r>
      <w:r>
        <w:rPr>
          <w:rFonts w:cs="Times New Roman"/>
        </w:rPr>
        <w:t xml:space="preserve"> also,</w:t>
      </w:r>
      <w:r w:rsidRPr="00CA3D66">
        <w:rPr>
          <w:rFonts w:cs="Times New Roman"/>
        </w:rPr>
        <w:t xml:space="preserve"> when this rain water flows into the rivers, seas and oceans</w:t>
      </w:r>
      <w:r>
        <w:rPr>
          <w:rFonts w:cs="Times New Roman"/>
        </w:rPr>
        <w:t>,</w:t>
      </w:r>
      <w:r w:rsidRPr="00CA3D66">
        <w:rPr>
          <w:rFonts w:cs="Times New Roman"/>
        </w:rPr>
        <w:t xml:space="preserve"> it </w:t>
      </w:r>
      <w:r>
        <w:rPr>
          <w:rFonts w:cs="Times New Roman"/>
        </w:rPr>
        <w:t xml:space="preserve">harms the </w:t>
      </w:r>
      <w:r w:rsidRPr="00CA3D66">
        <w:rPr>
          <w:rFonts w:cs="Times New Roman"/>
        </w:rPr>
        <w:t>aquatic life thus disturbing the eco-system</w:t>
      </w:r>
      <w:r>
        <w:rPr>
          <w:rFonts w:cs="Times New Roman"/>
        </w:rPr>
        <w:t xml:space="preserve"> </w:t>
      </w:r>
      <w:r w:rsidRPr="00D04F7F">
        <w:rPr>
          <w:rFonts w:cs="Times New Roman"/>
        </w:rPr>
        <w:t>(Yun et al., 2019)</w:t>
      </w:r>
      <w:r w:rsidRPr="00CA3D66">
        <w:rPr>
          <w:rFonts w:cs="Times New Roman"/>
        </w:rPr>
        <w:t xml:space="preserve">. </w:t>
      </w:r>
    </w:p>
    <w:p w14:paraId="38B8F0FE" w14:textId="77777777" w:rsidR="007A2F0E" w:rsidRPr="00CA3D66" w:rsidRDefault="007A2F0E" w:rsidP="00124BC6">
      <w:pPr>
        <w:spacing w:line="480" w:lineRule="auto"/>
        <w:ind w:firstLine="720"/>
        <w:rPr>
          <w:rFonts w:cs="Times New Roman"/>
        </w:rPr>
      </w:pPr>
      <w:r w:rsidRPr="00CA3D66">
        <w:rPr>
          <w:rFonts w:cs="Times New Roman"/>
        </w:rPr>
        <w:t>Nitrogen oxides are responsible for the respiratory diseases that are spreading all over the country, it is also responsible for the global warming, because of that the water levels all over the world are rising with the threat that many nations might go under sea. When mercury is released into the environment, it accumulates in water laid sediments where it converts into toxic methylmercury and enters the food chain (</w:t>
      </w:r>
      <w:proofErr w:type="spellStart"/>
      <w:r w:rsidRPr="00CA3D66">
        <w:rPr>
          <w:rFonts w:cs="Times New Roman"/>
        </w:rPr>
        <w:t>Paoletti</w:t>
      </w:r>
      <w:proofErr w:type="spellEnd"/>
      <w:r w:rsidRPr="00CA3D66">
        <w:rPr>
          <w:rFonts w:cs="Times New Roman"/>
        </w:rPr>
        <w:t xml:space="preserve"> et al., 2019). From food it enters into the blood stream of human beings as a result it has a direct impact </w:t>
      </w:r>
      <w:r>
        <w:rPr>
          <w:rFonts w:cs="Times New Roman"/>
        </w:rPr>
        <w:t>on the human health</w:t>
      </w:r>
      <w:r w:rsidRPr="00CA3D66">
        <w:rPr>
          <w:rFonts w:cs="Times New Roman"/>
        </w:rPr>
        <w:t xml:space="preserve">. </w:t>
      </w:r>
      <w:r>
        <w:rPr>
          <w:rFonts w:cs="Times New Roman"/>
        </w:rPr>
        <w:t xml:space="preserve">In addition to </w:t>
      </w:r>
      <w:r w:rsidRPr="00CA3D66">
        <w:rPr>
          <w:rFonts w:cs="Times New Roman"/>
        </w:rPr>
        <w:t>it</w:t>
      </w:r>
      <w:r>
        <w:rPr>
          <w:rFonts w:cs="Times New Roman"/>
        </w:rPr>
        <w:t>, this toxic pollutant</w:t>
      </w:r>
      <w:r w:rsidRPr="00CA3D66">
        <w:rPr>
          <w:rFonts w:cs="Times New Roman"/>
        </w:rPr>
        <w:t xml:space="preserve"> effects the wild life, the animals that consume fish are also affected by it and it leads to even death</w:t>
      </w:r>
      <w:r>
        <w:rPr>
          <w:rFonts w:cs="Times New Roman"/>
        </w:rPr>
        <w:t xml:space="preserve"> </w:t>
      </w:r>
      <w:r w:rsidRPr="00AA5920">
        <w:rPr>
          <w:rFonts w:cs="Times New Roman"/>
        </w:rPr>
        <w:t>(Driscoll et al., 201</w:t>
      </w:r>
      <w:r>
        <w:rPr>
          <w:rFonts w:cs="Times New Roman"/>
        </w:rPr>
        <w:t>3)</w:t>
      </w:r>
      <w:r w:rsidRPr="00CA3D66">
        <w:rPr>
          <w:rFonts w:cs="Times New Roman"/>
        </w:rPr>
        <w:t xml:space="preserve">. </w:t>
      </w:r>
    </w:p>
    <w:p w14:paraId="2A021AA3" w14:textId="77777777" w:rsidR="007A2F0E" w:rsidRPr="00CA3D66" w:rsidRDefault="007A2F0E" w:rsidP="00124BC6">
      <w:pPr>
        <w:spacing w:line="480" w:lineRule="auto"/>
        <w:ind w:firstLine="720"/>
        <w:rPr>
          <w:rFonts w:cs="Times New Roman"/>
        </w:rPr>
      </w:pPr>
      <w:r w:rsidRPr="00CA3D66">
        <w:rPr>
          <w:rFonts w:cs="Times New Roman"/>
        </w:rPr>
        <w:t xml:space="preserve">Lead has been a main contributor in air pollution as it was being used in fuel and this was impacting the human brain other than that Soils near highways, freeways, and smelting </w:t>
      </w:r>
      <w:r w:rsidRPr="00CA3D66">
        <w:rPr>
          <w:rFonts w:cs="Times New Roman"/>
        </w:rPr>
        <w:lastRenderedPageBreak/>
        <w:t xml:space="preserve">facilities have higher levels of lead than soils in other areas because of their exposure to lead dust, which accumulates over time. Children were most likely to be impacted by lead in the air, all these pollutants are dangerous for the eco-system and in order to prevent them from causing further damage certain steps need to be taken (Lovett et al., 2018). </w:t>
      </w:r>
    </w:p>
    <w:p w14:paraId="4951E2F8" w14:textId="5B8950B0" w:rsidR="009A5BA7" w:rsidRPr="00CA3D66" w:rsidRDefault="009A5BA7" w:rsidP="00E36244">
      <w:pPr>
        <w:pStyle w:val="Heading1"/>
      </w:pPr>
      <w:bookmarkStart w:id="16" w:name="_Toc57341050"/>
      <w:bookmarkStart w:id="17" w:name="_Toc57522004"/>
      <w:r>
        <w:t>M</w:t>
      </w:r>
      <w:r w:rsidRPr="00CA3D66">
        <w:t xml:space="preserve">ajor sources of air pollution in </w:t>
      </w:r>
      <w:r>
        <w:t>Dhaka, Bangladesh</w:t>
      </w:r>
      <w:bookmarkEnd w:id="16"/>
      <w:r>
        <w:t>, comparison with Toronto</w:t>
      </w:r>
      <w:bookmarkEnd w:id="17"/>
    </w:p>
    <w:p w14:paraId="3D9CFC7A" w14:textId="74532B9C" w:rsidR="009A5BA7" w:rsidRDefault="009A5BA7" w:rsidP="00124BC6">
      <w:pPr>
        <w:spacing w:line="480" w:lineRule="auto"/>
        <w:rPr>
          <w:rFonts w:cs="Times New Roman"/>
        </w:rPr>
      </w:pPr>
      <w:r w:rsidRPr="00CA3D66">
        <w:rPr>
          <w:rFonts w:cs="Times New Roman"/>
        </w:rPr>
        <w:tab/>
      </w:r>
      <w:r w:rsidRPr="006824EC">
        <w:rPr>
          <w:rFonts w:cs="Times New Roman"/>
        </w:rPr>
        <w:t>The air pollution levels reported in the city of Dhaka, Bangladesh is extremely high this is because the major revenue of the country is generated through their manufacturing sector that produces large amount of pollutants into the air (Chowdhury &amp; Imran, 2010).</w:t>
      </w:r>
      <w:r w:rsidR="00A758B9" w:rsidRPr="006824EC">
        <w:rPr>
          <w:rFonts w:cs="Times New Roman"/>
        </w:rPr>
        <w:t xml:space="preserve"> </w:t>
      </w:r>
      <w:r w:rsidR="00CD3C13" w:rsidRPr="006824EC">
        <w:rPr>
          <w:rFonts w:cs="Times New Roman"/>
        </w:rPr>
        <w:t xml:space="preserve">(Azad &amp; </w:t>
      </w:r>
      <w:proofErr w:type="spellStart"/>
      <w:r w:rsidR="00CD3C13" w:rsidRPr="006824EC">
        <w:rPr>
          <w:rFonts w:cs="Times New Roman"/>
        </w:rPr>
        <w:t>Kitada</w:t>
      </w:r>
      <w:proofErr w:type="spellEnd"/>
      <w:r w:rsidR="00CD3C13" w:rsidRPr="006824EC">
        <w:rPr>
          <w:rFonts w:cs="Times New Roman"/>
        </w:rPr>
        <w:t xml:space="preserve">, </w:t>
      </w:r>
      <w:r w:rsidR="00CD3C13" w:rsidRPr="006824EC">
        <w:rPr>
          <w:rFonts w:cs="Times New Roman"/>
        </w:rPr>
        <w:t>(</w:t>
      </w:r>
      <w:r w:rsidR="00CD3C13" w:rsidRPr="006824EC">
        <w:rPr>
          <w:rFonts w:cs="Times New Roman"/>
        </w:rPr>
        <w:t>1998)</w:t>
      </w:r>
      <w:r w:rsidR="00CD3C13" w:rsidRPr="006824EC">
        <w:rPr>
          <w:rFonts w:cs="Times New Roman"/>
        </w:rPr>
        <w:t xml:space="preserve"> i</w:t>
      </w:r>
      <w:r w:rsidR="00A758B9" w:rsidRPr="006824EC">
        <w:rPr>
          <w:rFonts w:cs="Times New Roman"/>
        </w:rPr>
        <w:t xml:space="preserve">ndicates that the </w:t>
      </w:r>
      <w:r w:rsidR="00A758B9" w:rsidRPr="006824EC">
        <w:rPr>
          <w:rFonts w:cs="Times New Roman"/>
        </w:rPr>
        <w:t xml:space="preserve">brick fields </w:t>
      </w:r>
      <w:r w:rsidR="00A758B9" w:rsidRPr="006824EC">
        <w:rPr>
          <w:rFonts w:cs="Times New Roman"/>
        </w:rPr>
        <w:t>and the</w:t>
      </w:r>
      <w:r w:rsidR="00A758B9" w:rsidRPr="006824EC">
        <w:rPr>
          <w:rFonts w:cs="Times New Roman"/>
        </w:rPr>
        <w:t xml:space="preserve"> Motor vehicles</w:t>
      </w:r>
      <w:r w:rsidR="00A758B9" w:rsidRPr="006824EC">
        <w:rPr>
          <w:rFonts w:cs="Times New Roman"/>
        </w:rPr>
        <w:t xml:space="preserve"> are main cause of emissions in the region</w:t>
      </w:r>
      <w:r w:rsidR="00A758B9" w:rsidRPr="006824EC">
        <w:rPr>
          <w:rFonts w:cs="Times New Roman"/>
        </w:rPr>
        <w:t xml:space="preserve"> and</w:t>
      </w:r>
      <w:r w:rsidR="00CD3C13" w:rsidRPr="006824EC">
        <w:rPr>
          <w:rFonts w:cs="Times New Roman"/>
        </w:rPr>
        <w:t xml:space="preserve"> since t</w:t>
      </w:r>
      <w:r w:rsidRPr="006824EC">
        <w:rPr>
          <w:rFonts w:cs="Times New Roman"/>
        </w:rPr>
        <w:t>he regulation authorities are weak in the country</w:t>
      </w:r>
      <w:r w:rsidR="00CD3C13" w:rsidRPr="006824EC">
        <w:rPr>
          <w:rFonts w:cs="Times New Roman"/>
        </w:rPr>
        <w:t>,</w:t>
      </w:r>
      <w:r w:rsidRPr="006824EC">
        <w:rPr>
          <w:rFonts w:cs="Times New Roman"/>
        </w:rPr>
        <w:t xml:space="preserve"> factories get away with their activities. </w:t>
      </w:r>
      <w:r w:rsidR="00CD3C13" w:rsidRPr="006824EC">
        <w:rPr>
          <w:rFonts w:cs="Times New Roman"/>
        </w:rPr>
        <w:t xml:space="preserve">The </w:t>
      </w:r>
      <w:r w:rsidR="00CD3C13">
        <w:rPr>
          <w:rFonts w:cs="Times New Roman"/>
        </w:rPr>
        <w:t>residential activities</w:t>
      </w:r>
      <w:r w:rsidR="00711065">
        <w:rPr>
          <w:rFonts w:cs="Times New Roman"/>
        </w:rPr>
        <w:t>, traffic congestion</w:t>
      </w:r>
      <w:r w:rsidR="00CD3C13">
        <w:rPr>
          <w:rFonts w:cs="Times New Roman"/>
        </w:rPr>
        <w:t xml:space="preserve"> and system of </w:t>
      </w:r>
      <w:r w:rsidR="00CD3C13" w:rsidRPr="00CD3C13">
        <w:rPr>
          <w:rFonts w:cs="Times New Roman"/>
        </w:rPr>
        <w:t>commerce</w:t>
      </w:r>
      <w:r w:rsidR="00CD3C13">
        <w:rPr>
          <w:rFonts w:cs="Times New Roman"/>
        </w:rPr>
        <w:t xml:space="preserve"> are another sources of </w:t>
      </w:r>
      <w:r w:rsidR="00CD3C13" w:rsidRPr="00CD3C13">
        <w:rPr>
          <w:rFonts w:cs="Times New Roman"/>
        </w:rPr>
        <w:t>NOx</w:t>
      </w:r>
      <w:r w:rsidR="00CD3C13">
        <w:rPr>
          <w:rFonts w:cs="Times New Roman"/>
        </w:rPr>
        <w:t xml:space="preserve"> and SO2 in Dhaka.</w:t>
      </w:r>
      <w:r w:rsidR="00CD3C13" w:rsidRPr="00CD3C13">
        <w:rPr>
          <w:rFonts w:cs="Times New Roman"/>
        </w:rPr>
        <w:t xml:space="preserve"> </w:t>
      </w:r>
      <w:r w:rsidR="00CD3C13">
        <w:rPr>
          <w:rFonts w:cs="Times New Roman"/>
        </w:rPr>
        <w:t>The region</w:t>
      </w:r>
      <w:r w:rsidR="00CD3C13" w:rsidRPr="00CA3D66">
        <w:rPr>
          <w:rFonts w:cs="Times New Roman"/>
        </w:rPr>
        <w:t xml:space="preserve"> control th</w:t>
      </w:r>
      <w:r w:rsidR="00CD3C13">
        <w:rPr>
          <w:rFonts w:cs="Times New Roman"/>
        </w:rPr>
        <w:t xml:space="preserve">e pollutants in the city as the recent reports declared less amount of NO2 and SO2 traces than the guidelines provided but with an increase in </w:t>
      </w:r>
      <w:r w:rsidR="00CD3C13" w:rsidRPr="00CA3D66">
        <w:rPr>
          <w:rFonts w:cs="Times New Roman"/>
        </w:rPr>
        <w:t>the population</w:t>
      </w:r>
      <w:r w:rsidR="00CD3C13">
        <w:rPr>
          <w:rFonts w:cs="Times New Roman"/>
        </w:rPr>
        <w:t>, environment could get polluted</w:t>
      </w:r>
      <w:r w:rsidR="00711065">
        <w:rPr>
          <w:rFonts w:cs="Times New Roman"/>
        </w:rPr>
        <w:t xml:space="preserve"> </w:t>
      </w:r>
      <w:r w:rsidR="00711065" w:rsidRPr="00711065">
        <w:rPr>
          <w:rFonts w:cs="Times New Roman"/>
        </w:rPr>
        <w:t>(Salam et al., 2008)</w:t>
      </w:r>
      <w:r w:rsidR="00CD3C13">
        <w:rPr>
          <w:rFonts w:cs="Times New Roman"/>
        </w:rPr>
        <w:t xml:space="preserve">. </w:t>
      </w:r>
      <w:r w:rsidRPr="00CA3D66">
        <w:rPr>
          <w:rFonts w:cs="Times New Roman"/>
        </w:rPr>
        <w:t xml:space="preserve">The level of air pollution levels in Dhaka </w:t>
      </w:r>
      <w:r w:rsidR="00CD3C13">
        <w:rPr>
          <w:rFonts w:cs="Times New Roman"/>
        </w:rPr>
        <w:t>is however, comparatively very higher than Toronto as declared by the reports of World Health Organization</w:t>
      </w:r>
      <w:r w:rsidR="00711065">
        <w:rPr>
          <w:rFonts w:cs="Times New Roman"/>
        </w:rPr>
        <w:t xml:space="preserve"> </w:t>
      </w:r>
      <w:r w:rsidR="00711065" w:rsidRPr="001877EC">
        <w:rPr>
          <w:rFonts w:cs="Times New Roman"/>
        </w:rPr>
        <w:t>(</w:t>
      </w:r>
      <w:proofErr w:type="spellStart"/>
      <w:r w:rsidR="00711065" w:rsidRPr="001877EC">
        <w:rPr>
          <w:rFonts w:cs="Times New Roman"/>
        </w:rPr>
        <w:t>Numbeo</w:t>
      </w:r>
      <w:proofErr w:type="spellEnd"/>
      <w:r w:rsidR="00711065" w:rsidRPr="001877EC">
        <w:rPr>
          <w:rFonts w:cs="Times New Roman"/>
        </w:rPr>
        <w:t>, 2020)</w:t>
      </w:r>
      <w:r w:rsidR="00CD3C13">
        <w:rPr>
          <w:rFonts w:cs="Times New Roman"/>
        </w:rPr>
        <w:t>.</w:t>
      </w:r>
      <w:r w:rsidR="00711065">
        <w:rPr>
          <w:rFonts w:cs="Times New Roman"/>
        </w:rPr>
        <w:t xml:space="preserve"> Additionally,</w:t>
      </w:r>
      <w:r w:rsidRPr="00CA3D66">
        <w:rPr>
          <w:rFonts w:cs="Times New Roman"/>
        </w:rPr>
        <w:t xml:space="preserve"> Toronto has been able to control their levels of pollutions quite well </w:t>
      </w:r>
      <w:r w:rsidR="00711065">
        <w:rPr>
          <w:rFonts w:cs="Times New Roman"/>
        </w:rPr>
        <w:t xml:space="preserve">as </w:t>
      </w:r>
      <w:r w:rsidRPr="00CA3D66">
        <w:rPr>
          <w:rFonts w:cs="Times New Roman"/>
        </w:rPr>
        <w:t>they are at 53 AQI Moderate, this can be made further better by taking it below 50 AQI</w:t>
      </w:r>
      <w:r w:rsidR="00711065">
        <w:rPr>
          <w:rFonts w:cs="Times New Roman"/>
        </w:rPr>
        <w:t xml:space="preserve"> </w:t>
      </w:r>
      <w:r w:rsidR="00711065" w:rsidRPr="00711065">
        <w:rPr>
          <w:rFonts w:cs="Times New Roman"/>
        </w:rPr>
        <w:t>(</w:t>
      </w:r>
      <w:proofErr w:type="spellStart"/>
      <w:r w:rsidR="00711065" w:rsidRPr="00711065">
        <w:rPr>
          <w:rFonts w:cs="Times New Roman"/>
        </w:rPr>
        <w:t>IQAir</w:t>
      </w:r>
      <w:proofErr w:type="spellEnd"/>
      <w:r w:rsidR="00711065" w:rsidRPr="00711065">
        <w:rPr>
          <w:rFonts w:cs="Times New Roman"/>
        </w:rPr>
        <w:t>, 2020)</w:t>
      </w:r>
      <w:r w:rsidRPr="00CA3D66">
        <w:rPr>
          <w:rFonts w:cs="Times New Roman"/>
        </w:rPr>
        <w:t xml:space="preserve">. </w:t>
      </w:r>
    </w:p>
    <w:p w14:paraId="6839D259" w14:textId="28E5C91E" w:rsidR="001877EC" w:rsidRDefault="001877EC" w:rsidP="00E36244">
      <w:pPr>
        <w:spacing w:line="276" w:lineRule="auto"/>
        <w:ind w:firstLine="720"/>
        <w:rPr>
          <w:rFonts w:cs="Times New Roman"/>
        </w:rPr>
      </w:pPr>
      <w:r>
        <w:rPr>
          <w:rFonts w:cs="Times New Roman"/>
        </w:rPr>
        <w:t>Table 5. Data of air pollution Toronto and Dhaka</w:t>
      </w:r>
      <w:r>
        <w:rPr>
          <w:rFonts w:cs="Times New Roman"/>
        </w:rPr>
        <w:t xml:space="preserve"> </w:t>
      </w:r>
      <w:r w:rsidRPr="001877EC">
        <w:rPr>
          <w:rFonts w:cs="Times New Roman"/>
        </w:rPr>
        <w:t>(</w:t>
      </w:r>
      <w:proofErr w:type="spellStart"/>
      <w:r w:rsidRPr="001877EC">
        <w:rPr>
          <w:rFonts w:cs="Times New Roman"/>
        </w:rPr>
        <w:t>Numbeo</w:t>
      </w:r>
      <w:proofErr w:type="spellEnd"/>
      <w:r w:rsidRPr="001877EC">
        <w:rPr>
          <w:rFonts w:cs="Times New Roman"/>
        </w:rPr>
        <w:t>, 2020)</w:t>
      </w:r>
    </w:p>
    <w:tbl>
      <w:tblPr>
        <w:tblStyle w:val="GridTable1Light-Accent5"/>
        <w:tblW w:w="0" w:type="auto"/>
        <w:tblLook w:val="04A0" w:firstRow="1" w:lastRow="0" w:firstColumn="1" w:lastColumn="0" w:noHBand="0" w:noVBand="1"/>
      </w:tblPr>
      <w:tblGrid>
        <w:gridCol w:w="2695"/>
        <w:gridCol w:w="3315"/>
        <w:gridCol w:w="3006"/>
      </w:tblGrid>
      <w:tr w:rsidR="001877EC" w14:paraId="0E204DE1" w14:textId="77777777" w:rsidTr="006151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tcPr>
          <w:p w14:paraId="0D4794B3" w14:textId="77777777" w:rsidR="001877EC" w:rsidRDefault="001877EC" w:rsidP="00E36244">
            <w:pPr>
              <w:spacing w:line="276" w:lineRule="auto"/>
              <w:jc w:val="center"/>
              <w:rPr>
                <w:rFonts w:cs="Times New Roman"/>
              </w:rPr>
            </w:pPr>
            <w:r w:rsidRPr="001877EC">
              <w:rPr>
                <w:rFonts w:cs="Times New Roman"/>
                <w:lang w:val="en-GB"/>
              </w:rPr>
              <w:t>World Health Organization</w:t>
            </w:r>
            <w:r>
              <w:rPr>
                <w:rFonts w:cs="Times New Roman"/>
                <w:lang w:val="en-GB"/>
              </w:rPr>
              <w:t xml:space="preserve"> data</w:t>
            </w:r>
          </w:p>
        </w:tc>
      </w:tr>
      <w:tr w:rsidR="001877EC" w14:paraId="7990E49E" w14:textId="77777777" w:rsidTr="006151DB">
        <w:tc>
          <w:tcPr>
            <w:cnfStyle w:val="001000000000" w:firstRow="0" w:lastRow="0" w:firstColumn="1" w:lastColumn="0" w:oddVBand="0" w:evenVBand="0" w:oddHBand="0" w:evenHBand="0" w:firstRowFirstColumn="0" w:firstRowLastColumn="0" w:lastRowFirstColumn="0" w:lastRowLastColumn="0"/>
            <w:tcW w:w="2695" w:type="dxa"/>
          </w:tcPr>
          <w:p w14:paraId="085862B8" w14:textId="77777777" w:rsidR="001877EC" w:rsidRDefault="001877EC" w:rsidP="00E36244">
            <w:pPr>
              <w:spacing w:line="276" w:lineRule="auto"/>
              <w:rPr>
                <w:rFonts w:cs="Times New Roman"/>
              </w:rPr>
            </w:pPr>
          </w:p>
        </w:tc>
        <w:tc>
          <w:tcPr>
            <w:tcW w:w="3315" w:type="dxa"/>
          </w:tcPr>
          <w:p w14:paraId="41CFE63D" w14:textId="77777777" w:rsidR="001877EC" w:rsidRDefault="001877EC" w:rsidP="00E36244">
            <w:pPr>
              <w:spacing w:line="276" w:lineRule="auto"/>
              <w:cnfStyle w:val="000000000000" w:firstRow="0" w:lastRow="0" w:firstColumn="0" w:lastColumn="0" w:oddVBand="0" w:evenVBand="0" w:oddHBand="0" w:evenHBand="0" w:firstRowFirstColumn="0" w:firstRowLastColumn="0" w:lastRowFirstColumn="0" w:lastRowLastColumn="0"/>
              <w:rPr>
                <w:rFonts w:cs="Times New Roman"/>
              </w:rPr>
            </w:pPr>
            <w:r w:rsidRPr="001877EC">
              <w:rPr>
                <w:rFonts w:cs="Times New Roman"/>
                <w:b/>
                <w:bCs/>
                <w:lang w:val="en-GB"/>
              </w:rPr>
              <w:t>Toronto</w:t>
            </w:r>
          </w:p>
        </w:tc>
        <w:tc>
          <w:tcPr>
            <w:tcW w:w="3006" w:type="dxa"/>
          </w:tcPr>
          <w:p w14:paraId="5FC0913E" w14:textId="77777777" w:rsidR="001877EC" w:rsidRDefault="001877EC" w:rsidP="00E36244">
            <w:pPr>
              <w:spacing w:line="276" w:lineRule="auto"/>
              <w:cnfStyle w:val="000000000000" w:firstRow="0" w:lastRow="0" w:firstColumn="0" w:lastColumn="0" w:oddVBand="0" w:evenVBand="0" w:oddHBand="0" w:evenHBand="0" w:firstRowFirstColumn="0" w:firstRowLastColumn="0" w:lastRowFirstColumn="0" w:lastRowLastColumn="0"/>
              <w:rPr>
                <w:rFonts w:cs="Times New Roman"/>
              </w:rPr>
            </w:pPr>
            <w:r w:rsidRPr="001877EC">
              <w:rPr>
                <w:rFonts w:cs="Times New Roman"/>
                <w:b/>
                <w:bCs/>
                <w:lang w:val="en-GB"/>
              </w:rPr>
              <w:t>Dhaka</w:t>
            </w:r>
          </w:p>
        </w:tc>
      </w:tr>
      <w:tr w:rsidR="001877EC" w14:paraId="4BAA467F" w14:textId="77777777" w:rsidTr="006151DB">
        <w:tc>
          <w:tcPr>
            <w:cnfStyle w:val="001000000000" w:firstRow="0" w:lastRow="0" w:firstColumn="1" w:lastColumn="0" w:oddVBand="0" w:evenVBand="0" w:oddHBand="0" w:evenHBand="0" w:firstRowFirstColumn="0" w:firstRowLastColumn="0" w:lastRowFirstColumn="0" w:lastRowLastColumn="0"/>
            <w:tcW w:w="2695" w:type="dxa"/>
          </w:tcPr>
          <w:p w14:paraId="469F6D38" w14:textId="77777777" w:rsidR="001877EC" w:rsidRDefault="001877EC" w:rsidP="00E36244">
            <w:pPr>
              <w:spacing w:line="276" w:lineRule="auto"/>
              <w:rPr>
                <w:rFonts w:cs="Times New Roman"/>
              </w:rPr>
            </w:pPr>
            <w:r w:rsidRPr="001877EC">
              <w:rPr>
                <w:rFonts w:cs="Times New Roman"/>
                <w:lang w:val="en-GB"/>
              </w:rPr>
              <w:t>PM</w:t>
            </w:r>
            <w:r w:rsidRPr="001877EC">
              <w:rPr>
                <w:rFonts w:cs="Times New Roman"/>
                <w:vertAlign w:val="subscript"/>
                <w:lang w:val="en-GB"/>
              </w:rPr>
              <w:t>10</w:t>
            </w:r>
          </w:p>
        </w:tc>
        <w:tc>
          <w:tcPr>
            <w:tcW w:w="3315" w:type="dxa"/>
          </w:tcPr>
          <w:p w14:paraId="6D2DE5DE" w14:textId="77777777" w:rsidR="001877EC" w:rsidRDefault="001877EC" w:rsidP="00E36244">
            <w:pPr>
              <w:spacing w:line="276" w:lineRule="auto"/>
              <w:cnfStyle w:val="000000000000" w:firstRow="0" w:lastRow="0" w:firstColumn="0" w:lastColumn="0" w:oddVBand="0" w:evenVBand="0" w:oddHBand="0" w:evenHBand="0" w:firstRowFirstColumn="0" w:firstRowLastColumn="0" w:lastRowFirstColumn="0" w:lastRowLastColumn="0"/>
              <w:rPr>
                <w:rFonts w:cs="Times New Roman"/>
              </w:rPr>
            </w:pPr>
            <w:r w:rsidRPr="001877EC">
              <w:rPr>
                <w:rFonts w:cs="Times New Roman"/>
                <w:lang w:val="en-GB"/>
              </w:rPr>
              <w:t>16</w:t>
            </w:r>
          </w:p>
        </w:tc>
        <w:tc>
          <w:tcPr>
            <w:tcW w:w="3006" w:type="dxa"/>
          </w:tcPr>
          <w:p w14:paraId="14D85E67" w14:textId="77777777" w:rsidR="001877EC" w:rsidRDefault="001877EC" w:rsidP="00E36244">
            <w:pPr>
              <w:spacing w:line="276" w:lineRule="auto"/>
              <w:cnfStyle w:val="000000000000" w:firstRow="0" w:lastRow="0" w:firstColumn="0" w:lastColumn="0" w:oddVBand="0" w:evenVBand="0" w:oddHBand="0" w:evenHBand="0" w:firstRowFirstColumn="0" w:firstRowLastColumn="0" w:lastRowFirstColumn="0" w:lastRowLastColumn="0"/>
              <w:rPr>
                <w:rFonts w:cs="Times New Roman"/>
              </w:rPr>
            </w:pPr>
            <w:r w:rsidRPr="001877EC">
              <w:rPr>
                <w:rFonts w:cs="Times New Roman"/>
                <w:lang w:val="en-GB"/>
              </w:rPr>
              <w:t>104</w:t>
            </w:r>
          </w:p>
        </w:tc>
      </w:tr>
      <w:tr w:rsidR="001877EC" w14:paraId="1CB308D9" w14:textId="77777777" w:rsidTr="006151DB">
        <w:tc>
          <w:tcPr>
            <w:cnfStyle w:val="001000000000" w:firstRow="0" w:lastRow="0" w:firstColumn="1" w:lastColumn="0" w:oddVBand="0" w:evenVBand="0" w:oddHBand="0" w:evenHBand="0" w:firstRowFirstColumn="0" w:firstRowLastColumn="0" w:lastRowFirstColumn="0" w:lastRowLastColumn="0"/>
            <w:tcW w:w="2695" w:type="dxa"/>
          </w:tcPr>
          <w:p w14:paraId="5E5F4F00" w14:textId="77777777" w:rsidR="001877EC" w:rsidRDefault="001877EC" w:rsidP="00E36244">
            <w:pPr>
              <w:spacing w:line="276" w:lineRule="auto"/>
              <w:rPr>
                <w:rFonts w:cs="Times New Roman"/>
              </w:rPr>
            </w:pPr>
            <w:r w:rsidRPr="001877EC">
              <w:rPr>
                <w:rFonts w:cs="Times New Roman"/>
                <w:lang w:val="en-GB"/>
              </w:rPr>
              <w:t>PM</w:t>
            </w:r>
            <w:r w:rsidRPr="001877EC">
              <w:rPr>
                <w:rFonts w:cs="Times New Roman"/>
                <w:vertAlign w:val="subscript"/>
                <w:lang w:val="en-GB"/>
              </w:rPr>
              <w:t>2.5</w:t>
            </w:r>
          </w:p>
        </w:tc>
        <w:tc>
          <w:tcPr>
            <w:tcW w:w="3315" w:type="dxa"/>
          </w:tcPr>
          <w:p w14:paraId="09669D2D" w14:textId="77777777" w:rsidR="001877EC" w:rsidRDefault="001877EC" w:rsidP="00E36244">
            <w:pPr>
              <w:spacing w:line="276" w:lineRule="auto"/>
              <w:cnfStyle w:val="000000000000" w:firstRow="0" w:lastRow="0" w:firstColumn="0" w:lastColumn="0" w:oddVBand="0" w:evenVBand="0" w:oddHBand="0" w:evenHBand="0" w:firstRowFirstColumn="0" w:firstRowLastColumn="0" w:lastRowFirstColumn="0" w:lastRowLastColumn="0"/>
              <w:rPr>
                <w:rFonts w:cs="Times New Roman"/>
              </w:rPr>
            </w:pPr>
            <w:r w:rsidRPr="001877EC">
              <w:rPr>
                <w:rFonts w:cs="Times New Roman"/>
                <w:lang w:val="en-GB"/>
              </w:rPr>
              <w:t>9</w:t>
            </w:r>
          </w:p>
        </w:tc>
        <w:tc>
          <w:tcPr>
            <w:tcW w:w="3006" w:type="dxa"/>
          </w:tcPr>
          <w:p w14:paraId="40A88996" w14:textId="77777777" w:rsidR="001877EC" w:rsidRDefault="001877EC" w:rsidP="00E36244">
            <w:pPr>
              <w:spacing w:line="276" w:lineRule="auto"/>
              <w:cnfStyle w:val="000000000000" w:firstRow="0" w:lastRow="0" w:firstColumn="0" w:lastColumn="0" w:oddVBand="0" w:evenVBand="0" w:oddHBand="0" w:evenHBand="0" w:firstRowFirstColumn="0" w:firstRowLastColumn="0" w:lastRowFirstColumn="0" w:lastRowLastColumn="0"/>
              <w:rPr>
                <w:rFonts w:cs="Times New Roman"/>
              </w:rPr>
            </w:pPr>
            <w:r w:rsidRPr="001877EC">
              <w:rPr>
                <w:rFonts w:cs="Times New Roman"/>
                <w:lang w:val="en-GB"/>
              </w:rPr>
              <w:t>57</w:t>
            </w:r>
          </w:p>
        </w:tc>
      </w:tr>
      <w:tr w:rsidR="001877EC" w14:paraId="38A41AEA" w14:textId="77777777" w:rsidTr="006151DB">
        <w:tc>
          <w:tcPr>
            <w:cnfStyle w:val="001000000000" w:firstRow="0" w:lastRow="0" w:firstColumn="1" w:lastColumn="0" w:oddVBand="0" w:evenVBand="0" w:oddHBand="0" w:evenHBand="0" w:firstRowFirstColumn="0" w:firstRowLastColumn="0" w:lastRowFirstColumn="0" w:lastRowLastColumn="0"/>
            <w:tcW w:w="2695" w:type="dxa"/>
          </w:tcPr>
          <w:p w14:paraId="1B674001" w14:textId="77777777" w:rsidR="001877EC" w:rsidRDefault="001877EC" w:rsidP="00E36244">
            <w:pPr>
              <w:spacing w:line="276" w:lineRule="auto"/>
              <w:rPr>
                <w:rFonts w:cs="Times New Roman"/>
              </w:rPr>
            </w:pPr>
            <w:r w:rsidRPr="001877EC">
              <w:rPr>
                <w:rFonts w:cs="Times New Roman"/>
                <w:lang w:val="en-GB"/>
              </w:rPr>
              <w:t>PM</w:t>
            </w:r>
            <w:r w:rsidRPr="001877EC">
              <w:rPr>
                <w:rFonts w:cs="Times New Roman"/>
                <w:vertAlign w:val="subscript"/>
                <w:lang w:val="en-GB"/>
              </w:rPr>
              <w:t>10</w:t>
            </w:r>
            <w:r w:rsidRPr="001877EC">
              <w:rPr>
                <w:rFonts w:cs="Times New Roman"/>
                <w:lang w:val="en-GB"/>
              </w:rPr>
              <w:t>Pollution Level:</w:t>
            </w:r>
          </w:p>
        </w:tc>
        <w:tc>
          <w:tcPr>
            <w:tcW w:w="3315" w:type="dxa"/>
          </w:tcPr>
          <w:p w14:paraId="630F31AA" w14:textId="77777777" w:rsidR="001877EC" w:rsidRPr="001877EC" w:rsidRDefault="001877EC" w:rsidP="00E36244">
            <w:pPr>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FF0000"/>
              </w:rPr>
            </w:pPr>
            <w:r w:rsidRPr="001877EC">
              <w:rPr>
                <w:rFonts w:cs="Times New Roman"/>
                <w:color w:val="FF0000"/>
                <w:lang w:val="en-GB"/>
              </w:rPr>
              <w:t>Low</w:t>
            </w:r>
          </w:p>
        </w:tc>
        <w:tc>
          <w:tcPr>
            <w:tcW w:w="3006" w:type="dxa"/>
          </w:tcPr>
          <w:p w14:paraId="58F135A7" w14:textId="77777777" w:rsidR="001877EC" w:rsidRPr="001877EC" w:rsidRDefault="001877EC" w:rsidP="00E36244">
            <w:pPr>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FF0000"/>
              </w:rPr>
            </w:pPr>
            <w:r w:rsidRPr="001877EC">
              <w:rPr>
                <w:rFonts w:cs="Times New Roman"/>
                <w:color w:val="FF0000"/>
                <w:lang w:val="en-GB"/>
              </w:rPr>
              <w:t>Very High</w:t>
            </w:r>
          </w:p>
        </w:tc>
      </w:tr>
    </w:tbl>
    <w:p w14:paraId="137889A0" w14:textId="7F2B8C2F" w:rsidR="0051434C" w:rsidRDefault="009A5BA7" w:rsidP="00A01636">
      <w:pPr>
        <w:spacing w:line="480" w:lineRule="auto"/>
        <w:ind w:firstLine="720"/>
        <w:rPr>
          <w:rFonts w:cs="Times New Roman"/>
        </w:rPr>
      </w:pPr>
      <w:r w:rsidRPr="00CA3D66">
        <w:rPr>
          <w:rFonts w:cs="Times New Roman"/>
        </w:rPr>
        <w:t xml:space="preserve">The residents in both the cities deal with the pollution differently, though there are </w:t>
      </w:r>
      <w:r w:rsidR="00124BC6">
        <w:rPr>
          <w:rFonts w:cs="Times New Roman"/>
        </w:rPr>
        <w:t>distinct</w:t>
      </w:r>
      <w:r w:rsidRPr="00CA3D66">
        <w:rPr>
          <w:rFonts w:cs="Times New Roman"/>
        </w:rPr>
        <w:t xml:space="preserve"> mitigation </w:t>
      </w:r>
      <w:r w:rsidR="00124BC6">
        <w:rPr>
          <w:rFonts w:cs="Times New Roman"/>
        </w:rPr>
        <w:t>strategies in</w:t>
      </w:r>
      <w:r w:rsidRPr="00CA3D66">
        <w:rPr>
          <w:rFonts w:cs="Times New Roman"/>
        </w:rPr>
        <w:t xml:space="preserve"> place in Bangladesh</w:t>
      </w:r>
      <w:r w:rsidR="00124BC6">
        <w:rPr>
          <w:rFonts w:cs="Times New Roman"/>
        </w:rPr>
        <w:t>, even then they</w:t>
      </w:r>
      <w:r w:rsidRPr="00CA3D66">
        <w:rPr>
          <w:rFonts w:cs="Times New Roman"/>
        </w:rPr>
        <w:t xml:space="preserve"> are exposed to numerous diseases. By reducing the amount of pollution in air</w:t>
      </w:r>
      <w:r w:rsidR="00124BC6">
        <w:rPr>
          <w:rFonts w:cs="Times New Roman"/>
        </w:rPr>
        <w:t>,</w:t>
      </w:r>
      <w:r w:rsidRPr="00CA3D66">
        <w:rPr>
          <w:rFonts w:cs="Times New Roman"/>
        </w:rPr>
        <w:t xml:space="preserve"> </w:t>
      </w:r>
      <w:r w:rsidR="00124BC6">
        <w:rPr>
          <w:rFonts w:cs="Times New Roman"/>
        </w:rPr>
        <w:t>many</w:t>
      </w:r>
      <w:r w:rsidRPr="00CA3D66">
        <w:rPr>
          <w:rFonts w:cs="Times New Roman"/>
        </w:rPr>
        <w:t xml:space="preserve"> lives can be saved,</w:t>
      </w:r>
      <w:r w:rsidR="00124BC6">
        <w:rPr>
          <w:rFonts w:cs="Times New Roman"/>
        </w:rPr>
        <w:t xml:space="preserve"> thus, </w:t>
      </w:r>
      <w:r w:rsidR="00124BC6" w:rsidRPr="00124BC6">
        <w:rPr>
          <w:rFonts w:cs="Times New Roman"/>
        </w:rPr>
        <w:t xml:space="preserve">the Brick </w:t>
      </w:r>
      <w:r w:rsidR="00124BC6" w:rsidRPr="00124BC6">
        <w:rPr>
          <w:rFonts w:cs="Times New Roman"/>
        </w:rPr>
        <w:lastRenderedPageBreak/>
        <w:t>Burning Act in 198</w:t>
      </w:r>
      <w:r w:rsidR="00124BC6">
        <w:rPr>
          <w:rFonts w:cs="Times New Roman"/>
        </w:rPr>
        <w:t xml:space="preserve">9 was introduced by </w:t>
      </w:r>
      <w:r w:rsidR="00124BC6" w:rsidRPr="00124BC6">
        <w:rPr>
          <w:rFonts w:cs="Times New Roman"/>
        </w:rPr>
        <w:t>Government of Bangladesh (</w:t>
      </w:r>
      <w:proofErr w:type="spellStart"/>
      <w:r w:rsidR="00124BC6" w:rsidRPr="00124BC6">
        <w:rPr>
          <w:rFonts w:cs="Times New Roman"/>
        </w:rPr>
        <w:t>GoB</w:t>
      </w:r>
      <w:proofErr w:type="spellEnd"/>
      <w:r w:rsidR="00124BC6" w:rsidRPr="00124BC6">
        <w:rPr>
          <w:rFonts w:cs="Times New Roman"/>
        </w:rPr>
        <w:t>)</w:t>
      </w:r>
      <w:r w:rsidR="00124BC6">
        <w:rPr>
          <w:rFonts w:cs="Times New Roman"/>
        </w:rPr>
        <w:t xml:space="preserve"> as bricks industry was the major emitter of air pollutants. This act was renewed i</w:t>
      </w:r>
      <w:r w:rsidR="00124BC6" w:rsidRPr="00124BC6">
        <w:rPr>
          <w:rFonts w:cs="Times New Roman"/>
        </w:rPr>
        <w:t>n 2005–2006</w:t>
      </w:r>
      <w:r w:rsidR="00124BC6">
        <w:rPr>
          <w:rFonts w:cs="Times New Roman"/>
        </w:rPr>
        <w:t xml:space="preserve"> with different </w:t>
      </w:r>
      <w:r w:rsidR="00124BC6" w:rsidRPr="00124BC6">
        <w:rPr>
          <w:rFonts w:cs="Times New Roman"/>
        </w:rPr>
        <w:t>policy</w:t>
      </w:r>
      <w:r w:rsidR="00124BC6">
        <w:rPr>
          <w:rFonts w:cs="Times New Roman"/>
        </w:rPr>
        <w:t xml:space="preserve"> implications as well as </w:t>
      </w:r>
      <w:r w:rsidR="00124BC6" w:rsidRPr="00124BC6">
        <w:rPr>
          <w:rFonts w:cs="Times New Roman"/>
        </w:rPr>
        <w:t xml:space="preserve">cleaner </w:t>
      </w:r>
      <w:r w:rsidR="00124BC6">
        <w:rPr>
          <w:rFonts w:cs="Times New Roman"/>
        </w:rPr>
        <w:t xml:space="preserve">energy efficient </w:t>
      </w:r>
      <w:r w:rsidR="00124BC6" w:rsidRPr="00124BC6">
        <w:rPr>
          <w:rFonts w:cs="Times New Roman"/>
        </w:rPr>
        <w:t>technologies</w:t>
      </w:r>
      <w:r w:rsidR="00124BC6">
        <w:rPr>
          <w:rFonts w:cs="Times New Roman"/>
        </w:rPr>
        <w:t xml:space="preserve"> to manufacture bricks was introduced to reduce emissions </w:t>
      </w:r>
      <w:r w:rsidR="00124BC6" w:rsidRPr="00124BC6">
        <w:rPr>
          <w:rFonts w:cs="Times New Roman"/>
        </w:rPr>
        <w:t>(</w:t>
      </w:r>
      <w:proofErr w:type="spellStart"/>
      <w:r w:rsidR="00124BC6" w:rsidRPr="00124BC6">
        <w:rPr>
          <w:rFonts w:cs="Times New Roman"/>
        </w:rPr>
        <w:t>Guttikunda</w:t>
      </w:r>
      <w:proofErr w:type="spellEnd"/>
      <w:r w:rsidR="00124BC6" w:rsidRPr="00124BC6">
        <w:rPr>
          <w:rFonts w:cs="Times New Roman"/>
        </w:rPr>
        <w:t xml:space="preserve"> &amp; </w:t>
      </w:r>
      <w:proofErr w:type="spellStart"/>
      <w:r w:rsidR="00124BC6" w:rsidRPr="00124BC6">
        <w:rPr>
          <w:rFonts w:cs="Times New Roman"/>
        </w:rPr>
        <w:t>Khaliquzzaman</w:t>
      </w:r>
      <w:proofErr w:type="spellEnd"/>
      <w:r w:rsidR="00124BC6" w:rsidRPr="00124BC6">
        <w:rPr>
          <w:rFonts w:cs="Times New Roman"/>
        </w:rPr>
        <w:t>, 2013)</w:t>
      </w:r>
      <w:r w:rsidR="00124BC6">
        <w:rPr>
          <w:rFonts w:cs="Times New Roman"/>
        </w:rPr>
        <w:t>.</w:t>
      </w:r>
      <w:r w:rsidR="00A01636">
        <w:rPr>
          <w:rFonts w:cs="Times New Roman"/>
        </w:rPr>
        <w:t xml:space="preserve"> Moreover, about eleven of the </w:t>
      </w:r>
      <w:r w:rsidRPr="00CA3D66">
        <w:rPr>
          <w:rFonts w:cs="Times New Roman"/>
        </w:rPr>
        <w:t>Continuous Air Quality Monitoring Stations (CAMS)</w:t>
      </w:r>
      <w:r w:rsidR="00A01636">
        <w:rPr>
          <w:rFonts w:cs="Times New Roman"/>
        </w:rPr>
        <w:t xml:space="preserve"> were</w:t>
      </w:r>
      <w:r w:rsidRPr="00CA3D66">
        <w:rPr>
          <w:rFonts w:cs="Times New Roman"/>
        </w:rPr>
        <w:t xml:space="preserve"> </w:t>
      </w:r>
      <w:r w:rsidR="00A01636">
        <w:rPr>
          <w:rFonts w:cs="Times New Roman"/>
        </w:rPr>
        <w:t>adapted by the total eight cities for air pollution monitoring and for generating the data such as</w:t>
      </w:r>
      <w:r w:rsidRPr="00CA3D66">
        <w:rPr>
          <w:rFonts w:cs="Times New Roman"/>
        </w:rPr>
        <w:t xml:space="preserve"> air quality index </w:t>
      </w:r>
      <w:r w:rsidR="00A01636" w:rsidRPr="00A01636">
        <w:rPr>
          <w:rFonts w:cs="Times New Roman"/>
        </w:rPr>
        <w:t>(</w:t>
      </w:r>
      <w:proofErr w:type="spellStart"/>
      <w:r w:rsidR="00A01636" w:rsidRPr="00A01636">
        <w:rPr>
          <w:rFonts w:cs="Times New Roman"/>
        </w:rPr>
        <w:t>Hoel</w:t>
      </w:r>
      <w:proofErr w:type="spellEnd"/>
      <w:r w:rsidR="00A01636" w:rsidRPr="00A01636">
        <w:rPr>
          <w:rFonts w:cs="Times New Roman"/>
        </w:rPr>
        <w:t>, 2014)</w:t>
      </w:r>
      <w:r w:rsidR="00AD448F">
        <w:rPr>
          <w:rFonts w:cs="Times New Roman"/>
        </w:rPr>
        <w:t xml:space="preserve">. Whereas, in Toronto, the actions are taken through public cooperation and </w:t>
      </w:r>
      <w:r w:rsidR="00AD448F" w:rsidRPr="00AD448F">
        <w:rPr>
          <w:rFonts w:cs="Times New Roman"/>
        </w:rPr>
        <w:t>co-ordination</w:t>
      </w:r>
      <w:r w:rsidR="00AD448F">
        <w:rPr>
          <w:rFonts w:cs="Times New Roman"/>
        </w:rPr>
        <w:t xml:space="preserve">, their trust and actions in this regard due to the emotional attachment with the residential areas </w:t>
      </w:r>
      <w:r w:rsidR="00AD448F" w:rsidRPr="00AD448F">
        <w:rPr>
          <w:rFonts w:cs="Times New Roman"/>
        </w:rPr>
        <w:t>(Wakefield et al., 2001)</w:t>
      </w:r>
      <w:r w:rsidR="00AD448F">
        <w:rPr>
          <w:rFonts w:cs="Times New Roman"/>
        </w:rPr>
        <w:t xml:space="preserve">. Moreover, they are working on vehicles modifications to eradicate the chances of emissions through traffic congestion or overpopulation </w:t>
      </w:r>
      <w:r w:rsidR="00AD448F" w:rsidRPr="00AD448F">
        <w:rPr>
          <w:rFonts w:cs="Times New Roman"/>
        </w:rPr>
        <w:t>(</w:t>
      </w:r>
      <w:proofErr w:type="spellStart"/>
      <w:r w:rsidR="00AD448F" w:rsidRPr="00AD448F">
        <w:rPr>
          <w:rFonts w:cs="Times New Roman"/>
        </w:rPr>
        <w:t>Hatzopoulou</w:t>
      </w:r>
      <w:proofErr w:type="spellEnd"/>
      <w:r w:rsidR="00AD448F" w:rsidRPr="00AD448F">
        <w:rPr>
          <w:rFonts w:cs="Times New Roman"/>
        </w:rPr>
        <w:t xml:space="preserve"> &amp; Miller, 2010)</w:t>
      </w:r>
      <w:r w:rsidR="00AD448F">
        <w:rPr>
          <w:rFonts w:cs="Times New Roman"/>
        </w:rPr>
        <w:t>.</w:t>
      </w:r>
      <w:r w:rsidR="00AD448F" w:rsidRPr="00AD448F">
        <w:rPr>
          <w:rFonts w:cs="Times New Roman"/>
        </w:rPr>
        <w:t xml:space="preserve"> </w:t>
      </w:r>
    </w:p>
    <w:p w14:paraId="712CE842" w14:textId="349138F2" w:rsidR="009A5BA7" w:rsidRPr="00CA3D66" w:rsidRDefault="009A5BA7" w:rsidP="00E36244">
      <w:pPr>
        <w:pStyle w:val="Heading1"/>
      </w:pPr>
      <w:bookmarkStart w:id="18" w:name="_Toc57341051"/>
      <w:bookmarkStart w:id="19" w:name="_Toc57522005"/>
      <w:r>
        <w:t>P</w:t>
      </w:r>
      <w:r w:rsidRPr="00CA3D66">
        <w:t>otential human health impacts of air pollutants</w:t>
      </w:r>
      <w:bookmarkEnd w:id="19"/>
      <w:r w:rsidRPr="00CA3D66">
        <w:t xml:space="preserve"> </w:t>
      </w:r>
      <w:bookmarkEnd w:id="18"/>
    </w:p>
    <w:p w14:paraId="62D70EF4" w14:textId="7FF811E8" w:rsidR="009A5BA7" w:rsidRDefault="009A5BA7" w:rsidP="00124BC6">
      <w:pPr>
        <w:spacing w:line="480" w:lineRule="auto"/>
        <w:ind w:firstLine="720"/>
        <w:rPr>
          <w:rFonts w:cs="Times New Roman"/>
        </w:rPr>
      </w:pPr>
      <w:r>
        <w:rPr>
          <w:rFonts w:cs="Times New Roman"/>
        </w:rPr>
        <w:t>The v</w:t>
      </w:r>
      <w:r w:rsidRPr="000345A7">
        <w:rPr>
          <w:rFonts w:cs="Times New Roman"/>
        </w:rPr>
        <w:t>ehicular emission</w:t>
      </w:r>
      <w:r>
        <w:rPr>
          <w:rFonts w:cs="Times New Roman"/>
        </w:rPr>
        <w:t xml:space="preserve">s due to the air pollutants including the emissions of PM, SO2, CO, NO2 and other heavy metals causes bad health impact causing serious illnesses. The short term and long term effects of these pollutants are reported that includes the respiratory syndromes, malfunctioning of </w:t>
      </w:r>
      <w:r w:rsidRPr="000345A7">
        <w:rPr>
          <w:rFonts w:cs="Times New Roman"/>
        </w:rPr>
        <w:t>lung</w:t>
      </w:r>
      <w:r>
        <w:rPr>
          <w:rFonts w:cs="Times New Roman"/>
        </w:rPr>
        <w:t>s, asthma, irritation, fatigue</w:t>
      </w:r>
      <w:r w:rsidRPr="000345A7">
        <w:rPr>
          <w:rFonts w:cs="Times New Roman"/>
        </w:rPr>
        <w:t>, headache</w:t>
      </w:r>
      <w:r>
        <w:rPr>
          <w:rFonts w:cs="Times New Roman"/>
        </w:rPr>
        <w:t xml:space="preserve"> or</w:t>
      </w:r>
      <w:r w:rsidRPr="000345A7">
        <w:rPr>
          <w:rFonts w:cs="Times New Roman"/>
        </w:rPr>
        <w:t xml:space="preserve"> high blood pressure</w:t>
      </w:r>
      <w:r>
        <w:rPr>
          <w:rFonts w:cs="Times New Roman"/>
        </w:rPr>
        <w:t xml:space="preserve"> if short-term and exposure for longer term could result in cancer, cardiovascular diseases and even lead to death</w:t>
      </w:r>
      <w:r w:rsidRPr="000345A7">
        <w:rPr>
          <w:rFonts w:cs="Times New Roman"/>
        </w:rPr>
        <w:t xml:space="preserve">. </w:t>
      </w:r>
      <w:r>
        <w:rPr>
          <w:rFonts w:cs="Times New Roman"/>
        </w:rPr>
        <w:t>For instance, the lead e</w:t>
      </w:r>
      <w:r w:rsidRPr="000345A7">
        <w:rPr>
          <w:rFonts w:cs="Times New Roman"/>
        </w:rPr>
        <w:t>xposure</w:t>
      </w:r>
      <w:r>
        <w:rPr>
          <w:rFonts w:cs="Times New Roman"/>
        </w:rPr>
        <w:t xml:space="preserve"> by children or adults could cause </w:t>
      </w:r>
      <w:r w:rsidRPr="000345A7">
        <w:rPr>
          <w:rFonts w:cs="Times New Roman"/>
        </w:rPr>
        <w:t>cognitive impairment,</w:t>
      </w:r>
      <w:r>
        <w:rPr>
          <w:rFonts w:cs="Times New Roman"/>
        </w:rPr>
        <w:t xml:space="preserve"> high</w:t>
      </w:r>
      <w:r w:rsidRPr="000345A7">
        <w:rPr>
          <w:rFonts w:cs="Times New Roman"/>
        </w:rPr>
        <w:t xml:space="preserve"> blood pressure, central nervous system</w:t>
      </w:r>
      <w:r>
        <w:rPr>
          <w:rFonts w:cs="Times New Roman"/>
        </w:rPr>
        <w:t xml:space="preserve"> damage</w:t>
      </w:r>
      <w:r w:rsidRPr="000345A7">
        <w:rPr>
          <w:rFonts w:cs="Times New Roman"/>
        </w:rPr>
        <w:t xml:space="preserve"> and</w:t>
      </w:r>
      <w:r>
        <w:rPr>
          <w:rFonts w:cs="Times New Roman"/>
        </w:rPr>
        <w:t xml:space="preserve"> in some cases</w:t>
      </w:r>
      <w:r w:rsidRPr="000345A7">
        <w:rPr>
          <w:rFonts w:cs="Times New Roman"/>
        </w:rPr>
        <w:t xml:space="preserve"> child intelligence</w:t>
      </w:r>
      <w:r>
        <w:rPr>
          <w:rFonts w:cs="Times New Roman"/>
        </w:rPr>
        <w:t xml:space="preserve"> is reduced</w:t>
      </w:r>
      <w:r w:rsidRPr="000345A7">
        <w:rPr>
          <w:rFonts w:cs="Times New Roman"/>
        </w:rPr>
        <w:t xml:space="preserve"> (</w:t>
      </w:r>
      <w:r w:rsidRPr="0026174C">
        <w:rPr>
          <w:rFonts w:cs="Times New Roman"/>
        </w:rPr>
        <w:t xml:space="preserve">Salam </w:t>
      </w:r>
      <w:r>
        <w:rPr>
          <w:rFonts w:cs="Times New Roman"/>
        </w:rPr>
        <w:t xml:space="preserve">et al., 2008; </w:t>
      </w:r>
      <w:proofErr w:type="spellStart"/>
      <w:r w:rsidRPr="000345A7">
        <w:rPr>
          <w:rFonts w:cs="Times New Roman"/>
        </w:rPr>
        <w:t>Schwela</w:t>
      </w:r>
      <w:proofErr w:type="spellEnd"/>
      <w:r w:rsidRPr="000345A7">
        <w:rPr>
          <w:rFonts w:cs="Times New Roman"/>
        </w:rPr>
        <w:t>, 2000).</w:t>
      </w:r>
      <w:r w:rsidR="00CD3C13">
        <w:rPr>
          <w:rFonts w:cs="Times New Roman"/>
        </w:rPr>
        <w:t xml:space="preserve"> The fine particles emissions also needs to be controlled as </w:t>
      </w:r>
      <w:r w:rsidR="00711065">
        <w:rPr>
          <w:rFonts w:cs="Times New Roman"/>
        </w:rPr>
        <w:t xml:space="preserve">if they are inhaled could result in mortality, thus, are a threat to human health </w:t>
      </w:r>
      <w:r w:rsidR="00711065" w:rsidRPr="00711065">
        <w:rPr>
          <w:rFonts w:cs="Times New Roman"/>
        </w:rPr>
        <w:t>(Salam et al., 2008)</w:t>
      </w:r>
      <w:r w:rsidR="00711065">
        <w:rPr>
          <w:rFonts w:cs="Times New Roman"/>
        </w:rPr>
        <w:t xml:space="preserve">. </w:t>
      </w:r>
    </w:p>
    <w:p w14:paraId="6F65A4E4" w14:textId="24CF4CEE" w:rsidR="009A5BA7" w:rsidRDefault="009A5BA7" w:rsidP="00124BC6">
      <w:pPr>
        <w:spacing w:line="480" w:lineRule="auto"/>
        <w:ind w:firstLine="720"/>
        <w:rPr>
          <w:rFonts w:cs="Times New Roman"/>
        </w:rPr>
      </w:pPr>
      <w:r w:rsidRPr="00CA3D66">
        <w:rPr>
          <w:rFonts w:cs="Times New Roman"/>
        </w:rPr>
        <w:t xml:space="preserve">The major effect of air pollution is climate change, it is a trending </w:t>
      </w:r>
      <w:r>
        <w:rPr>
          <w:rFonts w:cs="Times New Roman"/>
        </w:rPr>
        <w:t xml:space="preserve">concept under debate </w:t>
      </w:r>
      <w:r w:rsidRPr="00CA3D66">
        <w:rPr>
          <w:rFonts w:cs="Times New Roman"/>
        </w:rPr>
        <w:t xml:space="preserve">all over the world, </w:t>
      </w:r>
      <w:r>
        <w:rPr>
          <w:rFonts w:cs="Times New Roman"/>
        </w:rPr>
        <w:t>as</w:t>
      </w:r>
      <w:r w:rsidRPr="00CA3D66">
        <w:rPr>
          <w:rFonts w:cs="Times New Roman"/>
        </w:rPr>
        <w:t xml:space="preserve"> the situation of ozone </w:t>
      </w:r>
      <w:r>
        <w:rPr>
          <w:rFonts w:cs="Times New Roman"/>
        </w:rPr>
        <w:t xml:space="preserve">layer is </w:t>
      </w:r>
      <w:r w:rsidRPr="00CA3D66">
        <w:rPr>
          <w:rFonts w:cs="Times New Roman"/>
        </w:rPr>
        <w:t xml:space="preserve">getting worse </w:t>
      </w:r>
      <w:r>
        <w:rPr>
          <w:rFonts w:cs="Times New Roman"/>
        </w:rPr>
        <w:t>day by</w:t>
      </w:r>
      <w:r w:rsidRPr="00CA3D66">
        <w:rPr>
          <w:rFonts w:cs="Times New Roman"/>
        </w:rPr>
        <w:t xml:space="preserve"> day </w:t>
      </w:r>
      <w:r>
        <w:rPr>
          <w:rFonts w:cs="Times New Roman"/>
        </w:rPr>
        <w:t xml:space="preserve">and </w:t>
      </w:r>
      <w:r w:rsidRPr="00CA3D66">
        <w:rPr>
          <w:rFonts w:cs="Times New Roman"/>
        </w:rPr>
        <w:t xml:space="preserve">the temperature of the whole planet is rising. A huge hole in the ozone layer was discovered over </w:t>
      </w:r>
      <w:r w:rsidRPr="00CA3D66">
        <w:rPr>
          <w:rFonts w:cs="Times New Roman"/>
        </w:rPr>
        <w:lastRenderedPageBreak/>
        <w:t xml:space="preserve">the North Pole </w:t>
      </w:r>
      <w:r>
        <w:rPr>
          <w:rFonts w:cs="Times New Roman"/>
        </w:rPr>
        <w:t>that elevates the</w:t>
      </w:r>
      <w:r w:rsidRPr="00CA3D66">
        <w:rPr>
          <w:rFonts w:cs="Times New Roman"/>
        </w:rPr>
        <w:t xml:space="preserve"> sea level all over the globe </w:t>
      </w:r>
      <w:r>
        <w:rPr>
          <w:rFonts w:cs="Times New Roman"/>
        </w:rPr>
        <w:t xml:space="preserve">posing a threat to </w:t>
      </w:r>
      <w:r w:rsidRPr="00CA3D66">
        <w:rPr>
          <w:rFonts w:cs="Times New Roman"/>
        </w:rPr>
        <w:t xml:space="preserve">many nations </w:t>
      </w:r>
      <w:r>
        <w:rPr>
          <w:rFonts w:cs="Times New Roman"/>
        </w:rPr>
        <w:t>that could</w:t>
      </w:r>
      <w:r w:rsidRPr="00CA3D66">
        <w:rPr>
          <w:rFonts w:cs="Times New Roman"/>
        </w:rPr>
        <w:t xml:space="preserve"> drown under the sea (</w:t>
      </w:r>
      <w:proofErr w:type="spellStart"/>
      <w:r w:rsidRPr="00CA3D66">
        <w:rPr>
          <w:rFonts w:cs="Times New Roman"/>
        </w:rPr>
        <w:t>Manisalidis</w:t>
      </w:r>
      <w:proofErr w:type="spellEnd"/>
      <w:r w:rsidRPr="00CA3D66">
        <w:rPr>
          <w:rFonts w:cs="Times New Roman"/>
        </w:rPr>
        <w:t xml:space="preserve"> et al., 2020). Canada is one of th</w:t>
      </w:r>
      <w:r>
        <w:rPr>
          <w:rFonts w:cs="Times New Roman"/>
        </w:rPr>
        <w:t>ose countries under risk</w:t>
      </w:r>
      <w:r w:rsidRPr="00CA3D66">
        <w:rPr>
          <w:rFonts w:cs="Times New Roman"/>
        </w:rPr>
        <w:t xml:space="preserve"> as chances of flood rise with global warming and changes in climate</w:t>
      </w:r>
      <w:r>
        <w:rPr>
          <w:rFonts w:cs="Times New Roman"/>
        </w:rPr>
        <w:t xml:space="preserve"> are increasing affected by</w:t>
      </w:r>
      <w:r w:rsidRPr="00CA3D66">
        <w:rPr>
          <w:rFonts w:cs="Times New Roman"/>
        </w:rPr>
        <w:t xml:space="preserve"> human activities. </w:t>
      </w:r>
      <w:r>
        <w:rPr>
          <w:rFonts w:cs="Times New Roman"/>
        </w:rPr>
        <w:t>H</w:t>
      </w:r>
      <w:r w:rsidRPr="00CA3D66">
        <w:rPr>
          <w:rFonts w:cs="Times New Roman"/>
        </w:rPr>
        <w:t xml:space="preserve">eat ways in European countries </w:t>
      </w:r>
      <w:r>
        <w:rPr>
          <w:rFonts w:cs="Times New Roman"/>
        </w:rPr>
        <w:t xml:space="preserve">are also rising due to the uncontrolled </w:t>
      </w:r>
      <w:r w:rsidRPr="00CA3D66">
        <w:rPr>
          <w:rFonts w:cs="Times New Roman"/>
        </w:rPr>
        <w:t xml:space="preserve">industrialization as well as </w:t>
      </w:r>
      <w:r>
        <w:rPr>
          <w:rFonts w:cs="Times New Roman"/>
        </w:rPr>
        <w:t xml:space="preserve">both land and </w:t>
      </w:r>
      <w:r w:rsidRPr="00CA3D66">
        <w:rPr>
          <w:rFonts w:cs="Times New Roman"/>
        </w:rPr>
        <w:t xml:space="preserve">air temperature </w:t>
      </w:r>
      <w:r>
        <w:rPr>
          <w:rFonts w:cs="Times New Roman"/>
        </w:rPr>
        <w:t>is</w:t>
      </w:r>
      <w:r w:rsidRPr="00CA3D66">
        <w:rPr>
          <w:rFonts w:cs="Times New Roman"/>
        </w:rPr>
        <w:t xml:space="preserve"> rising</w:t>
      </w:r>
      <w:r>
        <w:rPr>
          <w:rFonts w:cs="Times New Roman"/>
        </w:rPr>
        <w:t xml:space="preserve"> (</w:t>
      </w:r>
      <w:r w:rsidRPr="00784507">
        <w:rPr>
          <w:rFonts w:cs="Times New Roman"/>
        </w:rPr>
        <w:t>Ford &amp; Smit, 2004).</w:t>
      </w:r>
      <w:r>
        <w:rPr>
          <w:rFonts w:cs="Times New Roman"/>
        </w:rPr>
        <w:t xml:space="preserve"> This increased climate change is the major “</w:t>
      </w:r>
      <w:r w:rsidRPr="00784507">
        <w:rPr>
          <w:rFonts w:cs="Times New Roman"/>
        </w:rPr>
        <w:t>health inequity</w:t>
      </w:r>
      <w:r>
        <w:rPr>
          <w:rFonts w:cs="Times New Roman"/>
        </w:rPr>
        <w:t xml:space="preserve">” in the region increasing the burden of diseases and vulnerability of masses especially poor people </w:t>
      </w:r>
      <w:r w:rsidRPr="00784507">
        <w:rPr>
          <w:rFonts w:cs="Times New Roman"/>
        </w:rPr>
        <w:t>(Patz et al., 2007)</w:t>
      </w:r>
      <w:r>
        <w:rPr>
          <w:rFonts w:cs="Times New Roman"/>
        </w:rPr>
        <w:t xml:space="preserve">. The resulted extreme weather conditions and exposure to the toxic gases is hazardous for human health increasing chances for the deaths due to </w:t>
      </w:r>
      <w:r w:rsidRPr="00784507">
        <w:rPr>
          <w:rFonts w:cs="Times New Roman"/>
        </w:rPr>
        <w:t>heatwave</w:t>
      </w:r>
      <w:r>
        <w:rPr>
          <w:rFonts w:cs="Times New Roman"/>
        </w:rPr>
        <w:t xml:space="preserve">s, heatstroke, heart attacks and others </w:t>
      </w:r>
      <w:r w:rsidRPr="00784507">
        <w:rPr>
          <w:rFonts w:cs="Times New Roman"/>
        </w:rPr>
        <w:t>(McMichael et al., 2006)</w:t>
      </w:r>
      <w:r>
        <w:rPr>
          <w:rFonts w:cs="Times New Roman"/>
        </w:rPr>
        <w:t>.</w:t>
      </w:r>
      <w:r w:rsidRPr="00CA3D66">
        <w:rPr>
          <w:rFonts w:cs="Times New Roman"/>
        </w:rPr>
        <w:t xml:space="preserve"> Canada is very close to the artic bay and that region has been effected the most by global warming, these areas are cold and with rise in temperature they are getting warmer this is disturbing the lives of people there because they are accustomed to the cold. Animals in these regions are also going extinct, thus the entire eco-system is being disturbed, this is also changing the hunting cycles all over the world</w:t>
      </w:r>
      <w:r>
        <w:rPr>
          <w:rFonts w:cs="Times New Roman"/>
        </w:rPr>
        <w:t xml:space="preserve"> </w:t>
      </w:r>
      <w:r w:rsidRPr="00CA3D66">
        <w:rPr>
          <w:rFonts w:cs="Times New Roman"/>
        </w:rPr>
        <w:t>(</w:t>
      </w:r>
      <w:proofErr w:type="spellStart"/>
      <w:r w:rsidRPr="00CA3D66">
        <w:rPr>
          <w:rFonts w:cs="Times New Roman"/>
        </w:rPr>
        <w:t>Brauer</w:t>
      </w:r>
      <w:proofErr w:type="spellEnd"/>
      <w:r w:rsidRPr="00CA3D66">
        <w:rPr>
          <w:rFonts w:cs="Times New Roman"/>
        </w:rPr>
        <w:t xml:space="preserve"> et al., 2017).</w:t>
      </w:r>
      <w:r>
        <w:rPr>
          <w:rFonts w:cs="Times New Roman"/>
        </w:rPr>
        <w:t xml:space="preserve"> The </w:t>
      </w:r>
      <w:r w:rsidRPr="00CA3D66">
        <w:rPr>
          <w:rFonts w:cs="Times New Roman"/>
        </w:rPr>
        <w:t xml:space="preserve">vulnerability approach referred explicitly to the UN framework convention on climate change, where commitments are made by different countries </w:t>
      </w:r>
      <w:r>
        <w:rPr>
          <w:rFonts w:cs="Times New Roman"/>
        </w:rPr>
        <w:t xml:space="preserve">should be used to </w:t>
      </w:r>
      <w:r w:rsidRPr="00CA3D66">
        <w:rPr>
          <w:rFonts w:cs="Times New Roman"/>
        </w:rPr>
        <w:t xml:space="preserve">promote adaptation to address region and people that are vulnerable (Ford et al., 2006). </w:t>
      </w:r>
    </w:p>
    <w:p w14:paraId="50CB0E36" w14:textId="77777777" w:rsidR="006824EC" w:rsidRPr="00CA3D66" w:rsidRDefault="006824EC" w:rsidP="00E36244">
      <w:pPr>
        <w:pStyle w:val="Heading1"/>
      </w:pPr>
      <w:bookmarkStart w:id="20" w:name="_Toc57341052"/>
      <w:r w:rsidRPr="00CA3D66">
        <w:t>Conclusion</w:t>
      </w:r>
      <w:bookmarkEnd w:id="20"/>
      <w:r w:rsidRPr="00CA3D66">
        <w:t xml:space="preserve"> </w:t>
      </w:r>
    </w:p>
    <w:p w14:paraId="18ED0716" w14:textId="5FFB7030" w:rsidR="006824EC" w:rsidRDefault="006824EC" w:rsidP="006824EC">
      <w:pPr>
        <w:spacing w:line="480" w:lineRule="auto"/>
        <w:ind w:firstLine="720"/>
      </w:pPr>
      <w:r>
        <w:t>W</w:t>
      </w:r>
      <w:r>
        <w:t xml:space="preserve">orld is trying to cope with the challenges </w:t>
      </w:r>
      <w:r>
        <w:t xml:space="preserve">for </w:t>
      </w:r>
      <w:r>
        <w:t xml:space="preserve">sustainable development goals. UNFCCC has taken different action plans </w:t>
      </w:r>
      <w:r>
        <w:t xml:space="preserve">as </w:t>
      </w:r>
      <w:r>
        <w:t xml:space="preserve">COP21 has asked the signatory countries to develop INDC to reduce emissions. </w:t>
      </w:r>
      <w:r w:rsidRPr="00CA3D66">
        <w:rPr>
          <w:rFonts w:cs="Times New Roman"/>
        </w:rPr>
        <w:t>The sustainable issue Canada is facing</w:t>
      </w:r>
      <w:r w:rsidR="00E36244">
        <w:rPr>
          <w:rFonts w:cs="Times New Roman"/>
        </w:rPr>
        <w:t xml:space="preserve"> recently</w:t>
      </w:r>
      <w:r w:rsidRPr="00CA3D66">
        <w:rPr>
          <w:rFonts w:cs="Times New Roman"/>
        </w:rPr>
        <w:t xml:space="preserve"> is air pollution</w:t>
      </w:r>
      <w:r w:rsidR="00E36244">
        <w:rPr>
          <w:rFonts w:cs="Times New Roman"/>
        </w:rPr>
        <w:t xml:space="preserve"> that is effecting its environment</w:t>
      </w:r>
      <w:r>
        <w:rPr>
          <w:rFonts w:cs="Times New Roman"/>
        </w:rPr>
        <w:t>,</w:t>
      </w:r>
      <w:r w:rsidR="00E36244">
        <w:rPr>
          <w:rFonts w:cs="Times New Roman"/>
        </w:rPr>
        <w:t xml:space="preserve"> however,</w:t>
      </w:r>
      <w:r w:rsidRPr="00CA3D66">
        <w:rPr>
          <w:rFonts w:cs="Times New Roman"/>
        </w:rPr>
        <w:t xml:space="preserve"> </w:t>
      </w:r>
      <w:r>
        <w:rPr>
          <w:rFonts w:cs="Times New Roman"/>
        </w:rPr>
        <w:t>it</w:t>
      </w:r>
      <w:r w:rsidRPr="00CA3D66">
        <w:rPr>
          <w:rFonts w:cs="Times New Roman"/>
        </w:rPr>
        <w:t xml:space="preserve"> </w:t>
      </w:r>
      <w:r>
        <w:t xml:space="preserve">is working on the development of energy using the renewable energy resources such as wind, solar and water and are becoming more socially responsible. </w:t>
      </w:r>
    </w:p>
    <w:p w14:paraId="4C0BD67A" w14:textId="77777777" w:rsidR="00E36244" w:rsidRDefault="00E36244" w:rsidP="006824EC">
      <w:pPr>
        <w:spacing w:line="480" w:lineRule="auto"/>
        <w:ind w:firstLine="720"/>
      </w:pPr>
    </w:p>
    <w:p w14:paraId="16DC9C3E" w14:textId="0E2FADE1" w:rsidR="00F56055" w:rsidRPr="00C230E2" w:rsidRDefault="00F56055" w:rsidP="00E36244">
      <w:pPr>
        <w:spacing w:line="480" w:lineRule="auto"/>
        <w:rPr>
          <w:b/>
          <w:bCs/>
        </w:rPr>
      </w:pPr>
      <w:r w:rsidRPr="00C230E2">
        <w:rPr>
          <w:b/>
          <w:bCs/>
        </w:rPr>
        <w:lastRenderedPageBreak/>
        <w:t>References</w:t>
      </w:r>
    </w:p>
    <w:p w14:paraId="573C3B64" w14:textId="0366BB50" w:rsidR="00785BA6" w:rsidRPr="00DE58AD" w:rsidRDefault="00785BA6" w:rsidP="00E36244">
      <w:pPr>
        <w:spacing w:line="480" w:lineRule="auto"/>
      </w:pPr>
      <w:r w:rsidRPr="00DE58AD">
        <w:t xml:space="preserve">Li, S., Feng, K., &amp; Li, M. (2017). Identifying the main contributors of air pollution in Beijing. </w:t>
      </w:r>
      <w:r w:rsidRPr="00DE58AD">
        <w:rPr>
          <w:i/>
          <w:iCs/>
        </w:rPr>
        <w:t>Journal of Cleaner Production</w:t>
      </w:r>
      <w:r w:rsidRPr="00DE58AD">
        <w:t xml:space="preserve">, </w:t>
      </w:r>
      <w:r w:rsidRPr="00DE58AD">
        <w:rPr>
          <w:i/>
          <w:iCs/>
        </w:rPr>
        <w:t>163</w:t>
      </w:r>
      <w:r w:rsidRPr="00DE58AD">
        <w:t>, S359–S365. https://doi.org/10.1016/j.jclepro.2015.10.127</w:t>
      </w:r>
    </w:p>
    <w:p w14:paraId="172CA6BC" w14:textId="0790E624" w:rsidR="004A459B" w:rsidRPr="00DE58AD" w:rsidRDefault="004A459B" w:rsidP="00E36244">
      <w:pPr>
        <w:spacing w:line="480" w:lineRule="auto"/>
      </w:pPr>
      <w:r w:rsidRPr="00DE58AD">
        <w:t>Environment and Climate Change Canada (2018) Canadian Environmental Sustainability Indicators: Air quality. Available at: www.canada.ca/en/environment-climate-change/services/environmental-indicators/airquality.html.</w:t>
      </w:r>
    </w:p>
    <w:p w14:paraId="18387011" w14:textId="77777777" w:rsidR="00785BA6" w:rsidRPr="00DE58AD" w:rsidRDefault="00785BA6" w:rsidP="00E36244">
      <w:pPr>
        <w:spacing w:line="480" w:lineRule="auto"/>
      </w:pPr>
      <w:proofErr w:type="spellStart"/>
      <w:r w:rsidRPr="00DE58AD">
        <w:t>Rafaj</w:t>
      </w:r>
      <w:proofErr w:type="spellEnd"/>
      <w:r w:rsidRPr="00DE58AD">
        <w:t xml:space="preserve">, P., </w:t>
      </w:r>
      <w:proofErr w:type="spellStart"/>
      <w:r w:rsidRPr="00DE58AD">
        <w:t>Kiesewetter</w:t>
      </w:r>
      <w:proofErr w:type="spellEnd"/>
      <w:r w:rsidRPr="00DE58AD">
        <w:t xml:space="preserve">, G., </w:t>
      </w:r>
      <w:proofErr w:type="spellStart"/>
      <w:r w:rsidRPr="00DE58AD">
        <w:t>Gül</w:t>
      </w:r>
      <w:proofErr w:type="spellEnd"/>
      <w:r w:rsidRPr="00DE58AD">
        <w:t xml:space="preserve">, T., </w:t>
      </w:r>
      <w:proofErr w:type="spellStart"/>
      <w:r w:rsidRPr="00DE58AD">
        <w:t>Schöpp</w:t>
      </w:r>
      <w:proofErr w:type="spellEnd"/>
      <w:r w:rsidRPr="00DE58AD">
        <w:t xml:space="preserve">, W., </w:t>
      </w:r>
      <w:proofErr w:type="spellStart"/>
      <w:r w:rsidRPr="00DE58AD">
        <w:t>Cofala</w:t>
      </w:r>
      <w:proofErr w:type="spellEnd"/>
      <w:r w:rsidRPr="00DE58AD">
        <w:t xml:space="preserve">, J., </w:t>
      </w:r>
      <w:proofErr w:type="spellStart"/>
      <w:r w:rsidRPr="00DE58AD">
        <w:t>Klimont</w:t>
      </w:r>
      <w:proofErr w:type="spellEnd"/>
      <w:r w:rsidRPr="00DE58AD">
        <w:t xml:space="preserve">, Z., Purohit, P., </w:t>
      </w:r>
      <w:proofErr w:type="spellStart"/>
      <w:r w:rsidRPr="00DE58AD">
        <w:t>Heyes</w:t>
      </w:r>
      <w:proofErr w:type="spellEnd"/>
      <w:r w:rsidRPr="00DE58AD">
        <w:t xml:space="preserve">, C., Amann, M., </w:t>
      </w:r>
      <w:proofErr w:type="spellStart"/>
      <w:r w:rsidRPr="00DE58AD">
        <w:t>Borken-Kleefeld</w:t>
      </w:r>
      <w:proofErr w:type="spellEnd"/>
      <w:r w:rsidRPr="00DE58AD">
        <w:t xml:space="preserve">, J., &amp; </w:t>
      </w:r>
      <w:proofErr w:type="spellStart"/>
      <w:r w:rsidRPr="00DE58AD">
        <w:t>Cozzi</w:t>
      </w:r>
      <w:proofErr w:type="spellEnd"/>
      <w:r w:rsidRPr="00DE58AD">
        <w:t xml:space="preserve">, L. (2018). Outlook for clean air in the context of sustainable development goals. </w:t>
      </w:r>
      <w:r w:rsidRPr="00DE58AD">
        <w:rPr>
          <w:i/>
          <w:iCs/>
        </w:rPr>
        <w:t>Global Environmental Change</w:t>
      </w:r>
      <w:r w:rsidRPr="00DE58AD">
        <w:t xml:space="preserve">, </w:t>
      </w:r>
      <w:r w:rsidRPr="00DE58AD">
        <w:rPr>
          <w:i/>
          <w:iCs/>
        </w:rPr>
        <w:t>53</w:t>
      </w:r>
      <w:r w:rsidRPr="00DE58AD">
        <w:t>, 1–11. https://doi.org/10.1016/j.gloenvcha.2018.08.008</w:t>
      </w:r>
    </w:p>
    <w:p w14:paraId="27BF0569" w14:textId="77777777" w:rsidR="00785BA6" w:rsidRPr="00DE58AD" w:rsidRDefault="00785BA6" w:rsidP="00E36244">
      <w:pPr>
        <w:spacing w:line="480" w:lineRule="auto"/>
        <w:rPr>
          <w:lang w:val="en-US"/>
        </w:rPr>
      </w:pPr>
      <w:proofErr w:type="spellStart"/>
      <w:r w:rsidRPr="00DE58AD">
        <w:rPr>
          <w:lang w:val="en-US"/>
        </w:rPr>
        <w:t>Kampa</w:t>
      </w:r>
      <w:proofErr w:type="spellEnd"/>
      <w:r w:rsidRPr="00DE58AD">
        <w:rPr>
          <w:lang w:val="en-US"/>
        </w:rPr>
        <w:t xml:space="preserve">, M., &amp; </w:t>
      </w:r>
      <w:proofErr w:type="spellStart"/>
      <w:r w:rsidRPr="00DE58AD">
        <w:rPr>
          <w:lang w:val="en-US"/>
        </w:rPr>
        <w:t>Castanas</w:t>
      </w:r>
      <w:proofErr w:type="spellEnd"/>
      <w:r w:rsidRPr="00DE58AD">
        <w:rPr>
          <w:lang w:val="en-US"/>
        </w:rPr>
        <w:t>, E. (2008). Human health effects of air pollution. </w:t>
      </w:r>
      <w:r w:rsidRPr="00DE58AD">
        <w:rPr>
          <w:i/>
          <w:iCs/>
          <w:lang w:val="en-US"/>
        </w:rPr>
        <w:t>Environmental Pollution</w:t>
      </w:r>
      <w:r w:rsidRPr="00DE58AD">
        <w:rPr>
          <w:lang w:val="en-US"/>
        </w:rPr>
        <w:t>, </w:t>
      </w:r>
      <w:r w:rsidRPr="00DE58AD">
        <w:rPr>
          <w:i/>
          <w:iCs/>
          <w:lang w:val="en-US"/>
        </w:rPr>
        <w:t>151</w:t>
      </w:r>
      <w:r w:rsidRPr="00DE58AD">
        <w:rPr>
          <w:lang w:val="en-US"/>
        </w:rPr>
        <w:t xml:space="preserve">(2), 362-367. </w:t>
      </w:r>
      <w:hyperlink r:id="rId10" w:history="1">
        <w:r w:rsidRPr="00DE58AD">
          <w:rPr>
            <w:rStyle w:val="Hyperlink"/>
            <w:color w:val="auto"/>
            <w:lang w:val="en-US"/>
          </w:rPr>
          <w:t>https://doi.org/10.1016/j.envpol.2007.06.012</w:t>
        </w:r>
      </w:hyperlink>
    </w:p>
    <w:p w14:paraId="28D4BE82" w14:textId="77777777" w:rsidR="00133D38" w:rsidRPr="00DE58AD" w:rsidRDefault="00133D38" w:rsidP="00E36244">
      <w:pPr>
        <w:spacing w:line="480" w:lineRule="auto"/>
      </w:pPr>
      <w:r w:rsidRPr="00DE58AD">
        <w:t xml:space="preserve">Air Quality Ontario. (2010). </w:t>
      </w:r>
      <w:r w:rsidRPr="00DE58AD">
        <w:rPr>
          <w:i/>
          <w:iCs/>
        </w:rPr>
        <w:t>Air Quality Ontario</w:t>
      </w:r>
      <w:r w:rsidRPr="00DE58AD">
        <w:t>. QUEEN’S PRINTER FOR ONTARIO. http://www.airqualityontario.com/</w:t>
      </w:r>
    </w:p>
    <w:p w14:paraId="4C192281" w14:textId="2D3568C8" w:rsidR="00F56055" w:rsidRPr="00DE58AD" w:rsidRDefault="00F56055" w:rsidP="00E36244">
      <w:pPr>
        <w:spacing w:line="480" w:lineRule="auto"/>
      </w:pPr>
      <w:r w:rsidRPr="00DE58AD">
        <w:t xml:space="preserve">Burnett, R. T., </w:t>
      </w:r>
      <w:proofErr w:type="spellStart"/>
      <w:r w:rsidRPr="00DE58AD">
        <w:t>Stieb</w:t>
      </w:r>
      <w:proofErr w:type="spellEnd"/>
      <w:r w:rsidRPr="00DE58AD">
        <w:t xml:space="preserve">, D., Brook, J. R., </w:t>
      </w:r>
      <w:proofErr w:type="spellStart"/>
      <w:r w:rsidRPr="00DE58AD">
        <w:t>Cakmak</w:t>
      </w:r>
      <w:proofErr w:type="spellEnd"/>
      <w:r w:rsidRPr="00DE58AD">
        <w:t xml:space="preserve">, S., Dales, R., </w:t>
      </w:r>
      <w:proofErr w:type="spellStart"/>
      <w:r w:rsidRPr="00DE58AD">
        <w:t>Raizenne</w:t>
      </w:r>
      <w:proofErr w:type="spellEnd"/>
      <w:r w:rsidRPr="00DE58AD">
        <w:t xml:space="preserve">, M., Vincent, R., &amp; Dann, T. (2004). Associations between Short-Term Changes in Nitrogen Dioxide and Mortality in Canadian Cities. </w:t>
      </w:r>
      <w:r w:rsidRPr="00DE58AD">
        <w:rPr>
          <w:i/>
          <w:iCs/>
        </w:rPr>
        <w:t>Archives of Environmental Health: An International Journal</w:t>
      </w:r>
      <w:r w:rsidRPr="00DE58AD">
        <w:t xml:space="preserve">, </w:t>
      </w:r>
      <w:r w:rsidRPr="00DE58AD">
        <w:rPr>
          <w:i/>
          <w:iCs/>
        </w:rPr>
        <w:t>59</w:t>
      </w:r>
      <w:r w:rsidRPr="00DE58AD">
        <w:t>(5), 228–236. https://doi.org/10.3200/aeoh.59.5.228-236</w:t>
      </w:r>
    </w:p>
    <w:p w14:paraId="55AD195D" w14:textId="0CAE8A8B" w:rsidR="00486A08" w:rsidRPr="00486A08" w:rsidRDefault="00486A08" w:rsidP="00E36244">
      <w:pPr>
        <w:spacing w:line="480" w:lineRule="auto"/>
      </w:pPr>
      <w:proofErr w:type="spellStart"/>
      <w:r w:rsidRPr="00486A08">
        <w:t>Akbarzadeh</w:t>
      </w:r>
      <w:proofErr w:type="spellEnd"/>
      <w:r w:rsidRPr="00486A08">
        <w:t xml:space="preserve">, M. A., </w:t>
      </w:r>
      <w:proofErr w:type="spellStart"/>
      <w:r w:rsidRPr="00486A08">
        <w:t>Khaheshi</w:t>
      </w:r>
      <w:proofErr w:type="spellEnd"/>
      <w:r w:rsidRPr="00486A08">
        <w:t xml:space="preserve">, I., Sharifi, A., </w:t>
      </w:r>
      <w:proofErr w:type="spellStart"/>
      <w:r w:rsidRPr="00486A08">
        <w:t>Yousefi</w:t>
      </w:r>
      <w:proofErr w:type="spellEnd"/>
      <w:r w:rsidRPr="00486A08">
        <w:t xml:space="preserve">, N., </w:t>
      </w:r>
      <w:proofErr w:type="spellStart"/>
      <w:r w:rsidRPr="00486A08">
        <w:t>Naderian</w:t>
      </w:r>
      <w:proofErr w:type="spellEnd"/>
      <w:r w:rsidRPr="00486A08">
        <w:t xml:space="preserve">, M., Namazi, M. H., Safi, M., </w:t>
      </w:r>
      <w:proofErr w:type="spellStart"/>
      <w:r w:rsidRPr="00486A08">
        <w:t>Vakili</w:t>
      </w:r>
      <w:proofErr w:type="spellEnd"/>
      <w:r w:rsidRPr="00486A08">
        <w:t xml:space="preserve">, H., Saadat, H., </w:t>
      </w:r>
      <w:proofErr w:type="spellStart"/>
      <w:r w:rsidRPr="00486A08">
        <w:t>Alipour</w:t>
      </w:r>
      <w:proofErr w:type="spellEnd"/>
      <w:r w:rsidRPr="00486A08">
        <w:t xml:space="preserve"> </w:t>
      </w:r>
      <w:proofErr w:type="spellStart"/>
      <w:r w:rsidRPr="00486A08">
        <w:t>Parsa</w:t>
      </w:r>
      <w:proofErr w:type="spellEnd"/>
      <w:r w:rsidRPr="00486A08">
        <w:t xml:space="preserve">, S., &amp; </w:t>
      </w:r>
      <w:proofErr w:type="spellStart"/>
      <w:r w:rsidRPr="00486A08">
        <w:t>Nickdoost</w:t>
      </w:r>
      <w:proofErr w:type="spellEnd"/>
      <w:r w:rsidRPr="00486A08">
        <w:t xml:space="preserve">, N. (2018). The association between exposure to air pollutants including PM10, PM2.5, ozone, carbon monoxide, </w:t>
      </w:r>
      <w:r w:rsidR="00A97DEE" w:rsidRPr="00DE58AD">
        <w:t>Sulfur</w:t>
      </w:r>
      <w:r w:rsidRPr="00486A08">
        <w:t xml:space="preserve"> dioxide, and nitrogen dioxide concentration and the relative risk of developing STEMI: A case-</w:t>
      </w:r>
      <w:r w:rsidRPr="00486A08">
        <w:lastRenderedPageBreak/>
        <w:t xml:space="preserve">crossover design. </w:t>
      </w:r>
      <w:r w:rsidRPr="00486A08">
        <w:rPr>
          <w:i/>
          <w:iCs/>
        </w:rPr>
        <w:t>Environmental Research</w:t>
      </w:r>
      <w:r w:rsidRPr="00486A08">
        <w:t xml:space="preserve">, </w:t>
      </w:r>
      <w:r w:rsidRPr="00486A08">
        <w:rPr>
          <w:i/>
          <w:iCs/>
        </w:rPr>
        <w:t>161</w:t>
      </w:r>
      <w:r w:rsidRPr="00486A08">
        <w:t>, 299–303. https://doi.org/10.1016/j.envres.2017.11.020</w:t>
      </w:r>
    </w:p>
    <w:p w14:paraId="21F78645" w14:textId="77777777" w:rsidR="00C46ED1" w:rsidRPr="00C46ED1" w:rsidRDefault="00C46ED1" w:rsidP="00E36244">
      <w:pPr>
        <w:spacing w:line="480" w:lineRule="auto"/>
      </w:pPr>
      <w:r w:rsidRPr="00C46ED1">
        <w:t xml:space="preserve">Wallace, J., </w:t>
      </w:r>
      <w:proofErr w:type="spellStart"/>
      <w:r w:rsidRPr="00C46ED1">
        <w:t>Corr</w:t>
      </w:r>
      <w:proofErr w:type="spellEnd"/>
      <w:r w:rsidRPr="00C46ED1">
        <w:t xml:space="preserve">, D., Deluca, P., </w:t>
      </w:r>
      <w:proofErr w:type="spellStart"/>
      <w:r w:rsidRPr="00C46ED1">
        <w:t>Kanaroglou</w:t>
      </w:r>
      <w:proofErr w:type="spellEnd"/>
      <w:r w:rsidRPr="00C46ED1">
        <w:t xml:space="preserve">, P., &amp; </w:t>
      </w:r>
      <w:proofErr w:type="spellStart"/>
      <w:r w:rsidRPr="00C46ED1">
        <w:t>McCarry</w:t>
      </w:r>
      <w:proofErr w:type="spellEnd"/>
      <w:r w:rsidRPr="00C46ED1">
        <w:t xml:space="preserve">, B. (2009). Mobile monitoring of air pollution in cities: the case of Hamilton, Ontario, Canada. </w:t>
      </w:r>
      <w:r w:rsidRPr="00C46ED1">
        <w:rPr>
          <w:i/>
          <w:iCs/>
        </w:rPr>
        <w:t>Journal of Environmental Monitoring</w:t>
      </w:r>
      <w:r w:rsidRPr="00C46ED1">
        <w:t xml:space="preserve">, </w:t>
      </w:r>
      <w:r w:rsidRPr="00C46ED1">
        <w:rPr>
          <w:i/>
          <w:iCs/>
        </w:rPr>
        <w:t>11</w:t>
      </w:r>
      <w:r w:rsidRPr="00C46ED1">
        <w:t>(5), 998. https://doi.org/10.1039/b818477a</w:t>
      </w:r>
    </w:p>
    <w:p w14:paraId="010DC8D6" w14:textId="77777777" w:rsidR="00C73272" w:rsidRPr="00C73272" w:rsidRDefault="00C73272" w:rsidP="00E36244">
      <w:pPr>
        <w:spacing w:line="480" w:lineRule="auto"/>
      </w:pPr>
      <w:r w:rsidRPr="00C73272">
        <w:t xml:space="preserve">Canada, E. A. C. C. (2013, July 17). </w:t>
      </w:r>
      <w:r w:rsidRPr="00C73272">
        <w:rPr>
          <w:i/>
          <w:iCs/>
        </w:rPr>
        <w:t>Particulate matter 2.5 and 10 - Canada.ca</w:t>
      </w:r>
      <w:r w:rsidRPr="00C73272">
        <w:t>. Canada.Ca. https://www.canada.ca/en/environment-climate-change/services/air-pollution/pollutants/common-contaminants/particulate-matter.html</w:t>
      </w:r>
    </w:p>
    <w:p w14:paraId="3D0F4FAC" w14:textId="77777777" w:rsidR="00CB42F2" w:rsidRPr="00CB42F2" w:rsidRDefault="00CB42F2" w:rsidP="00E36244">
      <w:pPr>
        <w:spacing w:line="480" w:lineRule="auto"/>
      </w:pPr>
      <w:r w:rsidRPr="00CB42F2">
        <w:t xml:space="preserve">Liu, H., Liu, S., </w:t>
      </w:r>
      <w:proofErr w:type="spellStart"/>
      <w:r w:rsidRPr="00CB42F2">
        <w:t>Xue</w:t>
      </w:r>
      <w:proofErr w:type="spellEnd"/>
      <w:r w:rsidRPr="00CB42F2">
        <w:t xml:space="preserve">, B., </w:t>
      </w:r>
      <w:proofErr w:type="spellStart"/>
      <w:r w:rsidRPr="00CB42F2">
        <w:t>Lv</w:t>
      </w:r>
      <w:proofErr w:type="spellEnd"/>
      <w:r w:rsidRPr="00CB42F2">
        <w:t xml:space="preserve">, Z., Meng, Z., Yang, X., </w:t>
      </w:r>
      <w:proofErr w:type="spellStart"/>
      <w:r w:rsidRPr="00CB42F2">
        <w:t>Xue</w:t>
      </w:r>
      <w:proofErr w:type="spellEnd"/>
      <w:r w:rsidRPr="00CB42F2">
        <w:t xml:space="preserve">, T., Yu, Q., &amp; He, K. (2018). Ground-level ozone pollution and its health impacts in China. </w:t>
      </w:r>
      <w:r w:rsidRPr="00CB42F2">
        <w:rPr>
          <w:i/>
          <w:iCs/>
        </w:rPr>
        <w:t>Atmospheric Environment</w:t>
      </w:r>
      <w:r w:rsidRPr="00CB42F2">
        <w:t xml:space="preserve">, </w:t>
      </w:r>
      <w:r w:rsidRPr="00CB42F2">
        <w:rPr>
          <w:i/>
          <w:iCs/>
        </w:rPr>
        <w:t>173</w:t>
      </w:r>
      <w:r w:rsidRPr="00CB42F2">
        <w:t>, 223–230. https://doi.org/10.1016/j.atmosenv.2017.11.014</w:t>
      </w:r>
    </w:p>
    <w:p w14:paraId="01A77720" w14:textId="77777777" w:rsidR="00CB42F2" w:rsidRPr="00CB42F2" w:rsidRDefault="00CB42F2" w:rsidP="00E36244">
      <w:pPr>
        <w:spacing w:line="480" w:lineRule="auto"/>
      </w:pPr>
      <w:r w:rsidRPr="00CB42F2">
        <w:t xml:space="preserve">Canada.ca. (2016, May 19). </w:t>
      </w:r>
      <w:r w:rsidRPr="00CB42F2">
        <w:rPr>
          <w:i/>
          <w:iCs/>
        </w:rPr>
        <w:t>Common air pollutants: ground-level ozone - Canada.ca</w:t>
      </w:r>
      <w:r w:rsidRPr="00CB42F2">
        <w:t>. https://www.canada.ca/en/environment-climate-change/services/air-pollution/pollutants/common-contaminants/ground-level-ozone.html</w:t>
      </w:r>
    </w:p>
    <w:p w14:paraId="0AB21D2C" w14:textId="77777777" w:rsidR="00B5197B" w:rsidRPr="00B5197B" w:rsidRDefault="00B5197B" w:rsidP="00E36244">
      <w:pPr>
        <w:spacing w:line="480" w:lineRule="auto"/>
      </w:pPr>
      <w:r w:rsidRPr="00B5197B">
        <w:t xml:space="preserve">Ramos, Y., </w:t>
      </w:r>
      <w:proofErr w:type="spellStart"/>
      <w:r w:rsidRPr="00B5197B">
        <w:t>Requia</w:t>
      </w:r>
      <w:proofErr w:type="spellEnd"/>
      <w:r w:rsidRPr="00B5197B">
        <w:t xml:space="preserve">, W. J., St-Onge, B., Blanchet, J.-P., </w:t>
      </w:r>
      <w:proofErr w:type="spellStart"/>
      <w:r w:rsidRPr="00B5197B">
        <w:t>Kestens</w:t>
      </w:r>
      <w:proofErr w:type="spellEnd"/>
      <w:r w:rsidRPr="00B5197B">
        <w:t xml:space="preserve">, Y., &amp; Smargiassi, A. (2018). Spatial </w:t>
      </w:r>
      <w:proofErr w:type="spellStart"/>
      <w:r w:rsidRPr="00B5197B">
        <w:t>modeling</w:t>
      </w:r>
      <w:proofErr w:type="spellEnd"/>
      <w:r w:rsidRPr="00B5197B">
        <w:t xml:space="preserve"> of daily concentrations of ground-level ozone in Montreal, Canada: A comparison of geostatistical approaches. </w:t>
      </w:r>
      <w:r w:rsidRPr="00B5197B">
        <w:rPr>
          <w:i/>
          <w:iCs/>
        </w:rPr>
        <w:t>Environmental Research</w:t>
      </w:r>
      <w:r w:rsidRPr="00B5197B">
        <w:t xml:space="preserve">, </w:t>
      </w:r>
      <w:r w:rsidRPr="00B5197B">
        <w:rPr>
          <w:i/>
          <w:iCs/>
        </w:rPr>
        <w:t>166</w:t>
      </w:r>
      <w:r w:rsidRPr="00B5197B">
        <w:t>, 487–496. https://doi.org/10.1016/j.envres.2018.06.036</w:t>
      </w:r>
    </w:p>
    <w:p w14:paraId="11F9D2D0" w14:textId="36793116" w:rsidR="00A97DEE" w:rsidRPr="00A97DEE" w:rsidRDefault="00A97DEE" w:rsidP="00E36244">
      <w:pPr>
        <w:spacing w:line="480" w:lineRule="auto"/>
      </w:pPr>
      <w:r w:rsidRPr="00A97DEE">
        <w:t xml:space="preserve">Islam, S. M. N., Jackson, P. L., </w:t>
      </w:r>
      <w:proofErr w:type="spellStart"/>
      <w:r w:rsidRPr="00A97DEE">
        <w:t>Kharol</w:t>
      </w:r>
      <w:proofErr w:type="spellEnd"/>
      <w:r w:rsidRPr="00A97DEE">
        <w:t xml:space="preserve">, S. K., &amp; </w:t>
      </w:r>
      <w:proofErr w:type="spellStart"/>
      <w:r w:rsidRPr="00A97DEE">
        <w:t>McLinden</w:t>
      </w:r>
      <w:proofErr w:type="spellEnd"/>
      <w:r w:rsidRPr="00A97DEE">
        <w:t xml:space="preserve">, C. A. (2020). Impact of natural gas production on nitrogen dioxide and </w:t>
      </w:r>
      <w:r w:rsidRPr="00DE58AD">
        <w:t>Sulfur</w:t>
      </w:r>
      <w:r w:rsidRPr="00A97DEE">
        <w:t xml:space="preserve"> dioxide over Northeast British Columbia, Canada. </w:t>
      </w:r>
      <w:r w:rsidRPr="00A97DEE">
        <w:rPr>
          <w:i/>
          <w:iCs/>
        </w:rPr>
        <w:t>Atmospheric Environment</w:t>
      </w:r>
      <w:r w:rsidRPr="00A97DEE">
        <w:t xml:space="preserve">, </w:t>
      </w:r>
      <w:r w:rsidRPr="00A97DEE">
        <w:rPr>
          <w:i/>
          <w:iCs/>
        </w:rPr>
        <w:t>223</w:t>
      </w:r>
      <w:r w:rsidRPr="00A97DEE">
        <w:t>, 117231. https://doi.org/10.1016/j.atmosenv.2019.117231</w:t>
      </w:r>
    </w:p>
    <w:p w14:paraId="420826A5" w14:textId="77777777" w:rsidR="004A459B" w:rsidRPr="004A459B" w:rsidRDefault="004A459B" w:rsidP="00E36244">
      <w:pPr>
        <w:spacing w:line="480" w:lineRule="auto"/>
      </w:pPr>
      <w:r w:rsidRPr="004A459B">
        <w:lastRenderedPageBreak/>
        <w:t xml:space="preserve">Canada.ca. (2020). </w:t>
      </w:r>
      <w:r w:rsidRPr="004A459B">
        <w:rPr>
          <w:i/>
          <w:iCs/>
        </w:rPr>
        <w:t>NAPS - Canada.ca</w:t>
      </w:r>
      <w:r w:rsidRPr="004A459B">
        <w:t>. https://www.canada.ca/en/environment-climate-change/services/air-pollution/monitoring-networks-data/national-air-pollution-program.html</w:t>
      </w:r>
    </w:p>
    <w:p w14:paraId="1A99AC37" w14:textId="77777777" w:rsidR="00B24F30" w:rsidRPr="00B24F30" w:rsidRDefault="00B24F30" w:rsidP="00E36244">
      <w:pPr>
        <w:spacing w:line="480" w:lineRule="auto"/>
      </w:pPr>
      <w:r w:rsidRPr="00B24F30">
        <w:t xml:space="preserve">Wheeler, A. J., Xu, X., </w:t>
      </w:r>
      <w:proofErr w:type="spellStart"/>
      <w:r w:rsidRPr="00B24F30">
        <w:t>Kulka</w:t>
      </w:r>
      <w:proofErr w:type="spellEnd"/>
      <w:r w:rsidRPr="00B24F30">
        <w:t xml:space="preserve">, R., You, H., Wallace, L., </w:t>
      </w:r>
      <w:proofErr w:type="spellStart"/>
      <w:r w:rsidRPr="00B24F30">
        <w:t>Mallach</w:t>
      </w:r>
      <w:proofErr w:type="spellEnd"/>
      <w:r w:rsidRPr="00B24F30">
        <w:t xml:space="preserve">, G., Ryswyk, K. V., MacNeill, M., Kearney, J., Rasmussen, P. E., </w:t>
      </w:r>
      <w:proofErr w:type="spellStart"/>
      <w:r w:rsidRPr="00B24F30">
        <w:t>Dabek-Zlotorzynska</w:t>
      </w:r>
      <w:proofErr w:type="spellEnd"/>
      <w:r w:rsidRPr="00B24F30">
        <w:t xml:space="preserve">, E., Wang, D., Poon, R., Williams, R., </w:t>
      </w:r>
      <w:proofErr w:type="spellStart"/>
      <w:r w:rsidRPr="00B24F30">
        <w:t>Stocco</w:t>
      </w:r>
      <w:proofErr w:type="spellEnd"/>
      <w:r w:rsidRPr="00B24F30">
        <w:t xml:space="preserve">, C., </w:t>
      </w:r>
      <w:proofErr w:type="spellStart"/>
      <w:r w:rsidRPr="00B24F30">
        <w:t>Anastassopoulos</w:t>
      </w:r>
      <w:proofErr w:type="spellEnd"/>
      <w:r w:rsidRPr="00B24F30">
        <w:t xml:space="preserve">, A., Miller, J. D., Dales, R., &amp; Brook, J. R. (2011). Windsor, Ontario Exposure Assessment Study: Design and Methods Validation of Personal, Indoor, and Outdoor Air Pollution Monitoring. </w:t>
      </w:r>
      <w:r w:rsidRPr="00B24F30">
        <w:rPr>
          <w:i/>
          <w:iCs/>
        </w:rPr>
        <w:t>Journal of the Air &amp; Waste Management Association</w:t>
      </w:r>
      <w:r w:rsidRPr="00B24F30">
        <w:t xml:space="preserve">, </w:t>
      </w:r>
      <w:r w:rsidRPr="00B24F30">
        <w:rPr>
          <w:i/>
          <w:iCs/>
        </w:rPr>
        <w:t>61</w:t>
      </w:r>
      <w:r w:rsidRPr="00B24F30">
        <w:t>(3), 324–338. https://doi.org/10.3155/1047-3289.61.3.324</w:t>
      </w:r>
    </w:p>
    <w:p w14:paraId="11E476D3" w14:textId="77777777" w:rsidR="002C2CC8" w:rsidRPr="002C2CC8" w:rsidRDefault="002C2CC8" w:rsidP="00E36244">
      <w:pPr>
        <w:spacing w:line="480" w:lineRule="auto"/>
      </w:pPr>
      <w:r w:rsidRPr="002C2CC8">
        <w:t xml:space="preserve">MINISTRY OF THE ENVIRONMENT AND CLIMATE CHANGE. (2016). </w:t>
      </w:r>
      <w:r w:rsidRPr="002C2CC8">
        <w:rPr>
          <w:i/>
          <w:iCs/>
        </w:rPr>
        <w:t>Air Quality in Ontario</w:t>
      </w:r>
      <w:r w:rsidRPr="002C2CC8">
        <w:t>. Queen’s Printer for Ontario. http://www.airqualityontario.com/downloads/AirQualityInOntarioReportAndAppendix2016.pdf</w:t>
      </w:r>
    </w:p>
    <w:p w14:paraId="67E957CD" w14:textId="77777777" w:rsidR="002C2CC8" w:rsidRPr="002C2CC8" w:rsidRDefault="002C2CC8" w:rsidP="00E36244">
      <w:pPr>
        <w:spacing w:line="480" w:lineRule="auto"/>
      </w:pPr>
      <w:r w:rsidRPr="002C2CC8">
        <w:t xml:space="preserve">Adams, M. D. (2020). Air pollution in Ontario, Canada during the COVID-19 State of Emergency. </w:t>
      </w:r>
      <w:r w:rsidRPr="002C2CC8">
        <w:rPr>
          <w:i/>
          <w:iCs/>
        </w:rPr>
        <w:t>Science of The Total Environment</w:t>
      </w:r>
      <w:r w:rsidRPr="002C2CC8">
        <w:t xml:space="preserve">, </w:t>
      </w:r>
      <w:r w:rsidRPr="002C2CC8">
        <w:rPr>
          <w:i/>
          <w:iCs/>
        </w:rPr>
        <w:t>742</w:t>
      </w:r>
      <w:r w:rsidRPr="002C2CC8">
        <w:t>, 140516. https://doi.org/10.1016/j.scitotenv.2020.140516</w:t>
      </w:r>
    </w:p>
    <w:p w14:paraId="7EE37E21" w14:textId="77777777" w:rsidR="0051434C" w:rsidRPr="0051434C" w:rsidRDefault="0051434C" w:rsidP="00E36244">
      <w:pPr>
        <w:spacing w:line="480" w:lineRule="auto"/>
      </w:pPr>
      <w:r w:rsidRPr="0051434C">
        <w:t xml:space="preserve">Craig, L., Brook, J. R., </w:t>
      </w:r>
      <w:proofErr w:type="spellStart"/>
      <w:r w:rsidRPr="0051434C">
        <w:t>Chiotti</w:t>
      </w:r>
      <w:proofErr w:type="spellEnd"/>
      <w:r w:rsidRPr="0051434C">
        <w:t xml:space="preserve">, Q., </w:t>
      </w:r>
      <w:proofErr w:type="spellStart"/>
      <w:r w:rsidRPr="0051434C">
        <w:t>Croes</w:t>
      </w:r>
      <w:proofErr w:type="spellEnd"/>
      <w:r w:rsidRPr="0051434C">
        <w:t xml:space="preserve">, B., Gower, S., Hedley, A., </w:t>
      </w:r>
      <w:proofErr w:type="spellStart"/>
      <w:r w:rsidRPr="0051434C">
        <w:t>Krewski</w:t>
      </w:r>
      <w:proofErr w:type="spellEnd"/>
      <w:r w:rsidRPr="0051434C">
        <w:t xml:space="preserve">, D., </w:t>
      </w:r>
      <w:proofErr w:type="spellStart"/>
      <w:r w:rsidRPr="0051434C">
        <w:t>Krupnick</w:t>
      </w:r>
      <w:proofErr w:type="spellEnd"/>
      <w:r w:rsidRPr="0051434C">
        <w:t xml:space="preserve">, A., </w:t>
      </w:r>
      <w:proofErr w:type="spellStart"/>
      <w:r w:rsidRPr="0051434C">
        <w:t>Krzyzanowski</w:t>
      </w:r>
      <w:proofErr w:type="spellEnd"/>
      <w:r w:rsidRPr="0051434C">
        <w:t xml:space="preserve">, M., Moran, M. D., Pennell, W., </w:t>
      </w:r>
      <w:proofErr w:type="spellStart"/>
      <w:r w:rsidRPr="0051434C">
        <w:t>Samet</w:t>
      </w:r>
      <w:proofErr w:type="spellEnd"/>
      <w:r w:rsidRPr="0051434C">
        <w:t xml:space="preserve">, J. M., Schneider, J., </w:t>
      </w:r>
      <w:proofErr w:type="spellStart"/>
      <w:r w:rsidRPr="0051434C">
        <w:t>Shortreed</w:t>
      </w:r>
      <w:proofErr w:type="spellEnd"/>
      <w:r w:rsidRPr="0051434C">
        <w:t xml:space="preserve">, J., &amp; Williams, M. (2008). Air Pollution and Public Health: A Guidance Document for Risk Managers. </w:t>
      </w:r>
      <w:r w:rsidRPr="0051434C">
        <w:rPr>
          <w:i/>
          <w:iCs/>
        </w:rPr>
        <w:t>Journal of Toxicology and Environmental Health, Part A</w:t>
      </w:r>
      <w:r w:rsidRPr="0051434C">
        <w:t xml:space="preserve">, </w:t>
      </w:r>
      <w:r w:rsidRPr="0051434C">
        <w:rPr>
          <w:i/>
          <w:iCs/>
        </w:rPr>
        <w:t>71</w:t>
      </w:r>
      <w:r w:rsidRPr="0051434C">
        <w:t>(9–10), 588–698. https://doi.org/10.1080/15287390801997732</w:t>
      </w:r>
    </w:p>
    <w:p w14:paraId="7FC1CFC7" w14:textId="77777777" w:rsidR="0075578C" w:rsidRPr="0075578C" w:rsidRDefault="0075578C" w:rsidP="00E36244">
      <w:pPr>
        <w:spacing w:line="480" w:lineRule="auto"/>
      </w:pPr>
      <w:r w:rsidRPr="0075578C">
        <w:t xml:space="preserve">Sharma, N., Taneja, S., Sagar, V., &amp; Bhatt, A. (2018). Forecasting air pollution load in Delhi using data analysis tools. </w:t>
      </w:r>
      <w:r w:rsidRPr="0075578C">
        <w:rPr>
          <w:i/>
          <w:iCs/>
        </w:rPr>
        <w:t>Procedia Computer Science</w:t>
      </w:r>
      <w:r w:rsidRPr="0075578C">
        <w:t xml:space="preserve">, </w:t>
      </w:r>
      <w:r w:rsidRPr="0075578C">
        <w:rPr>
          <w:i/>
          <w:iCs/>
        </w:rPr>
        <w:t>132</w:t>
      </w:r>
      <w:r w:rsidRPr="0075578C">
        <w:t>, 1077–1085. https://doi.org/10.1016/j.procs.2018.05.023</w:t>
      </w:r>
    </w:p>
    <w:p w14:paraId="04495241" w14:textId="77777777" w:rsidR="0075578C" w:rsidRPr="0075578C" w:rsidRDefault="0075578C" w:rsidP="00E36244">
      <w:pPr>
        <w:spacing w:line="480" w:lineRule="auto"/>
      </w:pPr>
      <w:r w:rsidRPr="0075578C">
        <w:lastRenderedPageBreak/>
        <w:t xml:space="preserve">Chandler, L. (2018). </w:t>
      </w:r>
      <w:r w:rsidRPr="0075578C">
        <w:rPr>
          <w:i/>
          <w:iCs/>
        </w:rPr>
        <w:t>Ozone formation in the troposphere</w:t>
      </w:r>
      <w:r w:rsidRPr="0075578C">
        <w:t xml:space="preserve">. </w:t>
      </w:r>
      <w:proofErr w:type="spellStart"/>
      <w:r w:rsidRPr="0075578C">
        <w:t>SlidePlayer</w:t>
      </w:r>
      <w:proofErr w:type="spellEnd"/>
      <w:r w:rsidRPr="0075578C">
        <w:t>. https://slideplayer.com/slide/14710532/</w:t>
      </w:r>
    </w:p>
    <w:p w14:paraId="70AB1AEC" w14:textId="77777777" w:rsidR="003C2F05" w:rsidRPr="003C2F05" w:rsidRDefault="003C2F05" w:rsidP="00E36244">
      <w:pPr>
        <w:spacing w:line="480" w:lineRule="auto"/>
      </w:pPr>
      <w:r w:rsidRPr="003C2F05">
        <w:t xml:space="preserve">Hildebrandt, S. (2013, February). </w:t>
      </w:r>
      <w:r w:rsidRPr="003C2F05">
        <w:rPr>
          <w:i/>
          <w:iCs/>
        </w:rPr>
        <w:t>Sun-kissed sulphur reveals volcanic effects on climate</w:t>
      </w:r>
      <w:r w:rsidRPr="003C2F05">
        <w:t xml:space="preserve">. </w:t>
      </w:r>
      <w:proofErr w:type="spellStart"/>
      <w:r w:rsidRPr="003C2F05">
        <w:t>ScienceNordic</w:t>
      </w:r>
      <w:proofErr w:type="spellEnd"/>
      <w:r w:rsidRPr="003C2F05">
        <w:t>. https://sciencenordic.com/chemistry-climate-denmark/sun-kissed-sulphur-reveals-volcanic-effects-on-climate/1382579</w:t>
      </w:r>
    </w:p>
    <w:p w14:paraId="5958D8B6" w14:textId="77777777" w:rsidR="00DF7B7C" w:rsidRPr="00DF7B7C" w:rsidRDefault="00DF7B7C" w:rsidP="00E36244">
      <w:pPr>
        <w:spacing w:line="480" w:lineRule="auto"/>
      </w:pPr>
      <w:r w:rsidRPr="00DF7B7C">
        <w:t xml:space="preserve">Wu, Y., Li, R., Cui, L., Meng, Y., Cheng, H., &amp; Fu, H. (2020). The high-resolution estimation of sulfur dioxide (SO2) concentration, health effect and monetary costs in Beijing. </w:t>
      </w:r>
      <w:r w:rsidRPr="00DF7B7C">
        <w:rPr>
          <w:i/>
          <w:iCs/>
        </w:rPr>
        <w:t>Chemosphere</w:t>
      </w:r>
      <w:r w:rsidRPr="00DF7B7C">
        <w:t xml:space="preserve">, </w:t>
      </w:r>
      <w:r w:rsidRPr="00DF7B7C">
        <w:rPr>
          <w:i/>
          <w:iCs/>
        </w:rPr>
        <w:t>241</w:t>
      </w:r>
      <w:r w:rsidRPr="00DF7B7C">
        <w:t>, 125031. https://doi.org/10.1016/j.chemosphere.2019.125031</w:t>
      </w:r>
    </w:p>
    <w:p w14:paraId="3C38F521" w14:textId="77777777" w:rsidR="00DF7B7C" w:rsidRPr="00DF7B7C" w:rsidRDefault="00DF7B7C" w:rsidP="00E36244">
      <w:pPr>
        <w:spacing w:line="480" w:lineRule="auto"/>
      </w:pPr>
      <w:r w:rsidRPr="00DF7B7C">
        <w:t xml:space="preserve">Wang, R., Liu, Y., </w:t>
      </w:r>
      <w:proofErr w:type="spellStart"/>
      <w:r w:rsidRPr="00DF7B7C">
        <w:t>Xue</w:t>
      </w:r>
      <w:proofErr w:type="spellEnd"/>
      <w:r w:rsidRPr="00DF7B7C">
        <w:t xml:space="preserve">, D., Yao, Y., Liu, P., &amp; </w:t>
      </w:r>
      <w:proofErr w:type="spellStart"/>
      <w:r w:rsidRPr="00DF7B7C">
        <w:t>Helbich</w:t>
      </w:r>
      <w:proofErr w:type="spellEnd"/>
      <w:r w:rsidRPr="00DF7B7C">
        <w:t xml:space="preserve">, M. (2019). Cross-sectional associations between long-term exposure to particulate matter and depression in China: The mediating effects of sunlight, physical activity, and </w:t>
      </w:r>
      <w:proofErr w:type="spellStart"/>
      <w:r w:rsidRPr="00DF7B7C">
        <w:t>neighborly</w:t>
      </w:r>
      <w:proofErr w:type="spellEnd"/>
      <w:r w:rsidRPr="00DF7B7C">
        <w:t xml:space="preserve"> reciprocity. </w:t>
      </w:r>
      <w:r w:rsidRPr="00DF7B7C">
        <w:rPr>
          <w:i/>
          <w:iCs/>
        </w:rPr>
        <w:t>Journal of Affective Disorders</w:t>
      </w:r>
      <w:r w:rsidRPr="00DF7B7C">
        <w:t xml:space="preserve">, </w:t>
      </w:r>
      <w:r w:rsidRPr="00DF7B7C">
        <w:rPr>
          <w:i/>
          <w:iCs/>
        </w:rPr>
        <w:t>249</w:t>
      </w:r>
      <w:r w:rsidRPr="00DF7B7C">
        <w:t>, 8–14. https://doi.org/10.1016/j.jad.2019.02.007</w:t>
      </w:r>
    </w:p>
    <w:p w14:paraId="712C6DE2" w14:textId="50806D6A" w:rsidR="00DE58AD" w:rsidRPr="00DE58AD" w:rsidRDefault="00DE58AD" w:rsidP="00E36244">
      <w:pPr>
        <w:spacing w:line="480" w:lineRule="auto"/>
      </w:pPr>
      <w:r w:rsidRPr="00DE58AD">
        <w:t>Hameed, F. K., Mohammed, F. H., &amp; Jawad, A. H. M. (2020). The Effects of Sunlight on Particle matter &amp; Radiation Pollution in Baghdad Airport Area. </w:t>
      </w:r>
      <w:r w:rsidRPr="00DE58AD">
        <w:rPr>
          <w:i/>
          <w:iCs/>
        </w:rPr>
        <w:t>Engineering and Technology Journal</w:t>
      </w:r>
      <w:r w:rsidRPr="00DE58AD">
        <w:t>, </w:t>
      </w:r>
      <w:r w:rsidRPr="00DE58AD">
        <w:rPr>
          <w:i/>
          <w:iCs/>
        </w:rPr>
        <w:t>38</w:t>
      </w:r>
      <w:r w:rsidRPr="00DE58AD">
        <w:t xml:space="preserve">(10A), 1454-1460. </w:t>
      </w:r>
      <w:hyperlink r:id="rId11" w:history="1">
        <w:r w:rsidRPr="00DE58AD">
          <w:rPr>
            <w:rStyle w:val="Hyperlink"/>
            <w:color w:val="auto"/>
          </w:rPr>
          <w:t>https://doi.org/10.30684/etj.v38i10A.690</w:t>
        </w:r>
      </w:hyperlink>
    </w:p>
    <w:p w14:paraId="0270A1B8" w14:textId="77777777" w:rsidR="0083730C" w:rsidRPr="0083730C" w:rsidRDefault="0083730C" w:rsidP="00E36244">
      <w:pPr>
        <w:spacing w:line="480" w:lineRule="auto"/>
      </w:pPr>
      <w:r w:rsidRPr="0083730C">
        <w:t xml:space="preserve">Bachmann, J. (2007). Will the Circle Be Unbroken: A History of the U.S. National Ambient Air Quality Standards. </w:t>
      </w:r>
      <w:r w:rsidRPr="0083730C">
        <w:rPr>
          <w:i/>
          <w:iCs/>
        </w:rPr>
        <w:t>Journal of the Air &amp; Waste Management Association</w:t>
      </w:r>
      <w:r w:rsidRPr="0083730C">
        <w:t xml:space="preserve">, </w:t>
      </w:r>
      <w:r w:rsidRPr="0083730C">
        <w:rPr>
          <w:i/>
          <w:iCs/>
        </w:rPr>
        <w:t>57</w:t>
      </w:r>
      <w:r w:rsidRPr="0083730C">
        <w:t>(6), 652–697. https://doi.org/10.3155/1047-3289.57.6.652</w:t>
      </w:r>
    </w:p>
    <w:p w14:paraId="3653238A" w14:textId="77777777" w:rsidR="0026784F" w:rsidRPr="0026784F" w:rsidRDefault="0026784F" w:rsidP="00E36244">
      <w:pPr>
        <w:spacing w:line="480" w:lineRule="auto"/>
      </w:pPr>
      <w:r w:rsidRPr="0026784F">
        <w:t xml:space="preserve">Bell, M., &amp; Ellis, H. (2003). Comparison of the 1-Hr and 8-Hr National Ambient Air Quality Standards for Ozone Using Models-3. </w:t>
      </w:r>
      <w:r w:rsidRPr="0026784F">
        <w:rPr>
          <w:i/>
          <w:iCs/>
        </w:rPr>
        <w:t>Journal of the Air &amp; Waste Management Association</w:t>
      </w:r>
      <w:r w:rsidRPr="0026784F">
        <w:t xml:space="preserve">, </w:t>
      </w:r>
      <w:r w:rsidRPr="0026784F">
        <w:rPr>
          <w:i/>
          <w:iCs/>
        </w:rPr>
        <w:t>53</w:t>
      </w:r>
      <w:r w:rsidRPr="0026784F">
        <w:t>(12), 1531–1540. https://doi.org/10.1080/10473289.2003.10466316</w:t>
      </w:r>
    </w:p>
    <w:p w14:paraId="451EC4C2" w14:textId="77777777" w:rsidR="0094078B" w:rsidRPr="0094078B" w:rsidRDefault="0094078B" w:rsidP="00E36244">
      <w:pPr>
        <w:spacing w:line="480" w:lineRule="auto"/>
      </w:pPr>
      <w:r w:rsidRPr="0094078B">
        <w:t xml:space="preserve">United States Environmental Protection Agency. (2016, December 20). </w:t>
      </w:r>
      <w:r w:rsidRPr="0094078B">
        <w:rPr>
          <w:i/>
          <w:iCs/>
        </w:rPr>
        <w:t>NAAQS Table</w:t>
      </w:r>
      <w:r w:rsidRPr="0094078B">
        <w:t>. US EPA. https://www.epa.gov/criteria-air-pollutants/naaqs-table</w:t>
      </w:r>
    </w:p>
    <w:p w14:paraId="12C6C052" w14:textId="440411A6" w:rsidR="00C230E2" w:rsidRDefault="00C230E2" w:rsidP="00E36244">
      <w:pPr>
        <w:spacing w:line="480" w:lineRule="auto"/>
      </w:pPr>
      <w:proofErr w:type="spellStart"/>
      <w:r w:rsidRPr="00C230E2">
        <w:lastRenderedPageBreak/>
        <w:t>Vahlsing</w:t>
      </w:r>
      <w:proofErr w:type="spellEnd"/>
      <w:r w:rsidRPr="00C230E2">
        <w:t xml:space="preserve">, C., &amp; Smith, K. R. (2011). Global review of national ambient air quality standards for PM10 and SO2 (24 h). </w:t>
      </w:r>
      <w:r w:rsidRPr="00C230E2">
        <w:rPr>
          <w:i/>
          <w:iCs/>
        </w:rPr>
        <w:t>Air Quality, Atmosphere &amp; Health</w:t>
      </w:r>
      <w:r w:rsidRPr="00C230E2">
        <w:t xml:space="preserve">, </w:t>
      </w:r>
      <w:r w:rsidRPr="00C230E2">
        <w:rPr>
          <w:i/>
          <w:iCs/>
        </w:rPr>
        <w:t>5</w:t>
      </w:r>
      <w:r w:rsidRPr="00C230E2">
        <w:t xml:space="preserve">(4), 393–399. </w:t>
      </w:r>
      <w:hyperlink r:id="rId12" w:history="1">
        <w:r w:rsidRPr="00C230E2">
          <w:rPr>
            <w:rStyle w:val="Hyperlink"/>
          </w:rPr>
          <w:t>https://doi.org/10.1007/s11869-010-0131-2</w:t>
        </w:r>
      </w:hyperlink>
    </w:p>
    <w:p w14:paraId="3449CC85" w14:textId="5F4AB647" w:rsidR="00C230E2" w:rsidRPr="00C230E2" w:rsidRDefault="00C230E2" w:rsidP="00E36244">
      <w:pPr>
        <w:spacing w:line="480" w:lineRule="auto"/>
      </w:pPr>
      <w:r w:rsidRPr="00C230E2">
        <w:t>Human Toxicology and Air Standards Section, Technical Assessment and Standards Development Branch, Ontario Ministry of the Environment, Conservation and Parks (MECP). 2020. Ambient Air Quality Criteria. MECP, Toronto, ON, Canada.</w:t>
      </w:r>
    </w:p>
    <w:p w14:paraId="6A6A9EAB" w14:textId="77777777" w:rsidR="00157912" w:rsidRPr="00157912" w:rsidRDefault="00157912" w:rsidP="00E36244">
      <w:pPr>
        <w:spacing w:line="480" w:lineRule="auto"/>
      </w:pPr>
      <w:proofErr w:type="spellStart"/>
      <w:r w:rsidRPr="00157912">
        <w:t>Nagajyoti</w:t>
      </w:r>
      <w:proofErr w:type="spellEnd"/>
      <w:r w:rsidRPr="00157912">
        <w:t xml:space="preserve">, P. C., Lee, K. D., &amp; Sreekanth, T. V. M. (2010). Heavy metals, occurrence and toxicity for plants: a review. </w:t>
      </w:r>
      <w:r w:rsidRPr="00157912">
        <w:rPr>
          <w:i/>
          <w:iCs/>
        </w:rPr>
        <w:t>Environmental Chemistry Letters</w:t>
      </w:r>
      <w:r w:rsidRPr="00157912">
        <w:t xml:space="preserve">, </w:t>
      </w:r>
      <w:r w:rsidRPr="00157912">
        <w:rPr>
          <w:i/>
          <w:iCs/>
        </w:rPr>
        <w:t>8</w:t>
      </w:r>
      <w:r w:rsidRPr="00157912">
        <w:t>(3), 199–216. https://doi.org/10.1007/s10311-010-0297-8</w:t>
      </w:r>
    </w:p>
    <w:p w14:paraId="2CB32856" w14:textId="77777777" w:rsidR="00157912" w:rsidRPr="00157912" w:rsidRDefault="00157912" w:rsidP="00E36244">
      <w:pPr>
        <w:spacing w:line="480" w:lineRule="auto"/>
      </w:pPr>
      <w:r w:rsidRPr="00157912">
        <w:t xml:space="preserve">BP Statistical Review of World Energy. (2019). </w:t>
      </w:r>
      <w:r w:rsidRPr="00157912">
        <w:rPr>
          <w:i/>
          <w:iCs/>
        </w:rPr>
        <w:t>BP Statistical Review of World Energy</w:t>
      </w:r>
      <w:r w:rsidRPr="00157912">
        <w:t xml:space="preserve"> (No. 68th). BP. https://www.bp.com/content/dam/bp/business-sites/en/global/corporate/pdfs/energy-economics/statistical-review/bp-stats-review-2019-full-report.pdf</w:t>
      </w:r>
    </w:p>
    <w:p w14:paraId="0DCAC4E3" w14:textId="77777777" w:rsidR="00BE286E" w:rsidRPr="00BE286E" w:rsidRDefault="00BE286E" w:rsidP="00E36244">
      <w:pPr>
        <w:spacing w:line="480" w:lineRule="auto"/>
      </w:pPr>
      <w:r w:rsidRPr="00BE286E">
        <w:t xml:space="preserve">Yun, J., Zhu, C., Wang, Q., Hu, Q., &amp; Yang, G. (2019). Catalytic conversions of atmospheric sulfur dioxide and formation of acid rain over mineral dusts: Molecular oxygen as the oxygen source. </w:t>
      </w:r>
      <w:r w:rsidRPr="00BE286E">
        <w:rPr>
          <w:i/>
          <w:iCs/>
        </w:rPr>
        <w:t>Chemosphere</w:t>
      </w:r>
      <w:r w:rsidRPr="00BE286E">
        <w:t xml:space="preserve">, </w:t>
      </w:r>
      <w:r w:rsidRPr="00BE286E">
        <w:rPr>
          <w:i/>
          <w:iCs/>
        </w:rPr>
        <w:t>217</w:t>
      </w:r>
      <w:r w:rsidRPr="00BE286E">
        <w:t>, 18–25. https://doi.org/10.1016/j.chemosphere.2018.10.201</w:t>
      </w:r>
    </w:p>
    <w:p w14:paraId="54831B79" w14:textId="77777777" w:rsidR="00BE286E" w:rsidRPr="00BE286E" w:rsidRDefault="00BE286E" w:rsidP="00E36244">
      <w:pPr>
        <w:spacing w:line="480" w:lineRule="auto"/>
      </w:pPr>
      <w:proofErr w:type="spellStart"/>
      <w:r w:rsidRPr="00BE286E">
        <w:t>Dzikuć</w:t>
      </w:r>
      <w:proofErr w:type="spellEnd"/>
      <w:r w:rsidRPr="00BE286E">
        <w:t xml:space="preserve">, M., &amp; Piwowar, A. (2015). Life Cycle Assessment as an Eco-Management Tool within the Power Industry. </w:t>
      </w:r>
      <w:r w:rsidRPr="00BE286E">
        <w:rPr>
          <w:i/>
          <w:iCs/>
        </w:rPr>
        <w:t>Polish Journal of Environmental Studies</w:t>
      </w:r>
      <w:r w:rsidRPr="00BE286E">
        <w:t xml:space="preserve">, </w:t>
      </w:r>
      <w:r w:rsidRPr="00BE286E">
        <w:rPr>
          <w:i/>
          <w:iCs/>
        </w:rPr>
        <w:t>24</w:t>
      </w:r>
      <w:r w:rsidRPr="00BE286E">
        <w:t>(6), 2381–2385. https://doi.org/10.15244/pjoes/58889</w:t>
      </w:r>
    </w:p>
    <w:p w14:paraId="27F739E3" w14:textId="441B7EF5" w:rsidR="007A2F0E" w:rsidRDefault="007A2F0E" w:rsidP="00E36244">
      <w:pPr>
        <w:spacing w:line="480" w:lineRule="auto"/>
      </w:pPr>
      <w:r w:rsidRPr="007A2F0E">
        <w:t xml:space="preserve">Driscoll, C. T., Mason, R. P., Chan, H. M., Jacob, D. J., &amp; </w:t>
      </w:r>
      <w:proofErr w:type="spellStart"/>
      <w:r w:rsidRPr="007A2F0E">
        <w:t>Pirrone</w:t>
      </w:r>
      <w:proofErr w:type="spellEnd"/>
      <w:r w:rsidRPr="007A2F0E">
        <w:t xml:space="preserve">, N. (2013). Mercury as a Global Pollutant: Sources, Pathways, and Effects. </w:t>
      </w:r>
      <w:r w:rsidRPr="007A2F0E">
        <w:rPr>
          <w:i/>
          <w:iCs/>
        </w:rPr>
        <w:t>Environmental Science &amp; Technology</w:t>
      </w:r>
      <w:r w:rsidRPr="007A2F0E">
        <w:t xml:space="preserve">, </w:t>
      </w:r>
      <w:r w:rsidRPr="007A2F0E">
        <w:rPr>
          <w:i/>
          <w:iCs/>
        </w:rPr>
        <w:t>47</w:t>
      </w:r>
      <w:r w:rsidRPr="007A2F0E">
        <w:t>(10), 4967–4983. https://doi.org/10.1021/es305071v</w:t>
      </w:r>
    </w:p>
    <w:p w14:paraId="6DE260A8" w14:textId="18D26BA6" w:rsidR="00C43985" w:rsidRDefault="00C43985" w:rsidP="00E36244">
      <w:pPr>
        <w:spacing w:line="480" w:lineRule="auto"/>
      </w:pPr>
      <w:r w:rsidRPr="00C43985">
        <w:lastRenderedPageBreak/>
        <w:t>Chowdhury, T., &amp; Imran, M. (2010). </w:t>
      </w:r>
      <w:r w:rsidRPr="00C43985">
        <w:rPr>
          <w:i/>
          <w:iCs/>
        </w:rPr>
        <w:t>Morbidity costs of vehicular air pollution: examining Dhaka city in Bangladesh</w:t>
      </w:r>
      <w:r w:rsidRPr="00C43985">
        <w:t>. SANDEE.</w:t>
      </w:r>
    </w:p>
    <w:p w14:paraId="564D81AE" w14:textId="77777777" w:rsidR="004732BC" w:rsidRPr="004732BC" w:rsidRDefault="004732BC" w:rsidP="00E36244">
      <w:pPr>
        <w:spacing w:line="480" w:lineRule="auto"/>
      </w:pPr>
      <w:proofErr w:type="spellStart"/>
      <w:r w:rsidRPr="004732BC">
        <w:t>Schwela</w:t>
      </w:r>
      <w:proofErr w:type="spellEnd"/>
      <w:r w:rsidRPr="004732BC">
        <w:t xml:space="preserve">, D. (2000). Air Pollution and Health in Urban Areas. </w:t>
      </w:r>
      <w:r w:rsidRPr="004732BC">
        <w:rPr>
          <w:i/>
          <w:iCs/>
        </w:rPr>
        <w:t>Reviews on Environmental Health</w:t>
      </w:r>
      <w:r w:rsidRPr="004732BC">
        <w:t xml:space="preserve">, </w:t>
      </w:r>
      <w:r w:rsidRPr="004732BC">
        <w:rPr>
          <w:i/>
          <w:iCs/>
        </w:rPr>
        <w:t>15</w:t>
      </w:r>
      <w:r w:rsidRPr="004732BC">
        <w:t>(1–2), . https://doi.org/10.1515/reveh.2000.15.1-2.13</w:t>
      </w:r>
    </w:p>
    <w:p w14:paraId="4316ACC3" w14:textId="5F1F6C50" w:rsidR="00711065" w:rsidRPr="007A2F0E" w:rsidRDefault="00711065" w:rsidP="00E36244">
      <w:pPr>
        <w:spacing w:line="480" w:lineRule="auto"/>
      </w:pPr>
      <w:r w:rsidRPr="00711065">
        <w:t xml:space="preserve">Salam, A., Hossain, T., Siddique, M. N. A., &amp; </w:t>
      </w:r>
      <w:proofErr w:type="spellStart"/>
      <w:r w:rsidRPr="00711065">
        <w:t>Alam</w:t>
      </w:r>
      <w:proofErr w:type="spellEnd"/>
      <w:r w:rsidRPr="00711065">
        <w:t xml:space="preserve">, A. M. S. (2008). Characteristics of atmospheric trace gases, particulate matter, and heavy metal pollution in Dhaka, Bangladesh. </w:t>
      </w:r>
      <w:r w:rsidRPr="00711065">
        <w:rPr>
          <w:i/>
          <w:iCs/>
        </w:rPr>
        <w:t>Air Quality, Atmosphere &amp; Health</w:t>
      </w:r>
      <w:r w:rsidRPr="00711065">
        <w:t xml:space="preserve">, </w:t>
      </w:r>
      <w:r w:rsidRPr="00711065">
        <w:rPr>
          <w:i/>
          <w:iCs/>
        </w:rPr>
        <w:t>1</w:t>
      </w:r>
      <w:r w:rsidRPr="00711065">
        <w:t>(2), 101–109. https://doi.org/10.1007/s11869-008-0017-8</w:t>
      </w:r>
    </w:p>
    <w:p w14:paraId="30967D21" w14:textId="7FAAA1B9" w:rsidR="00785BA6" w:rsidRDefault="00F76106" w:rsidP="00E36244">
      <w:pPr>
        <w:spacing w:line="480" w:lineRule="auto"/>
      </w:pPr>
      <w:r w:rsidRPr="00F76106">
        <w:t>Ford, J., &amp; Smit, B. (2004). A Framework for Assessing the Vulnerability of Communities in the Canadian Arctic to Risks Associated with Climate Change. </w:t>
      </w:r>
      <w:r w:rsidRPr="00F76106">
        <w:rPr>
          <w:i/>
          <w:iCs/>
        </w:rPr>
        <w:t>Arctic,</w:t>
      </w:r>
      <w:r w:rsidRPr="00F76106">
        <w:t> </w:t>
      </w:r>
      <w:r w:rsidRPr="00F76106">
        <w:rPr>
          <w:i/>
          <w:iCs/>
        </w:rPr>
        <w:t>57</w:t>
      </w:r>
      <w:r w:rsidRPr="00F76106">
        <w:t>(4), 389-400. Retrieved November 28, 2020, from http://www.jstor.org/stable/40512642</w:t>
      </w:r>
    </w:p>
    <w:p w14:paraId="5CB0DCF1" w14:textId="77777777" w:rsidR="00F76106" w:rsidRPr="00F76106" w:rsidRDefault="00F76106" w:rsidP="00E36244">
      <w:pPr>
        <w:spacing w:line="480" w:lineRule="auto"/>
      </w:pPr>
      <w:r w:rsidRPr="00F76106">
        <w:t xml:space="preserve">Patz, J. A., Gibbs, H. K., Foley, J. A., Rogers, J. V., &amp; Smith, K. R. (2007). Climate Change and Global Health: Quantifying a Growing Ethical Crisis. </w:t>
      </w:r>
      <w:proofErr w:type="spellStart"/>
      <w:r w:rsidRPr="00F76106">
        <w:rPr>
          <w:i/>
          <w:iCs/>
        </w:rPr>
        <w:t>EcoHealth</w:t>
      </w:r>
      <w:proofErr w:type="spellEnd"/>
      <w:r w:rsidRPr="00F76106">
        <w:t xml:space="preserve">, </w:t>
      </w:r>
      <w:r w:rsidRPr="00F76106">
        <w:rPr>
          <w:i/>
          <w:iCs/>
        </w:rPr>
        <w:t>4</w:t>
      </w:r>
      <w:r w:rsidRPr="00F76106">
        <w:t>(4), 397–405. https://doi.org/10.1007/s10393-007-0141-1</w:t>
      </w:r>
    </w:p>
    <w:p w14:paraId="13C9CC29" w14:textId="77777777" w:rsidR="00F76106" w:rsidRPr="00F76106" w:rsidRDefault="00F76106" w:rsidP="00E36244">
      <w:pPr>
        <w:spacing w:line="480" w:lineRule="auto"/>
      </w:pPr>
      <w:r w:rsidRPr="00F76106">
        <w:t xml:space="preserve">McMichael, A. J., Woodruff, R. E., &amp; Hales, S. (2006). Climate change and human health: present and future risks. </w:t>
      </w:r>
      <w:r w:rsidRPr="00F76106">
        <w:rPr>
          <w:i/>
          <w:iCs/>
        </w:rPr>
        <w:t>The Lancet</w:t>
      </w:r>
      <w:r w:rsidRPr="00F76106">
        <w:t xml:space="preserve">, </w:t>
      </w:r>
      <w:r w:rsidRPr="00F76106">
        <w:rPr>
          <w:i/>
          <w:iCs/>
        </w:rPr>
        <w:t>367</w:t>
      </w:r>
      <w:r w:rsidRPr="00F76106">
        <w:t>(9513), 859–869. https://doi.org/10.1016/s0140-6736(06)68079-3</w:t>
      </w:r>
    </w:p>
    <w:p w14:paraId="5D858BA3" w14:textId="02CA6DA7" w:rsidR="001877EC" w:rsidRDefault="001877EC" w:rsidP="00E36244">
      <w:pPr>
        <w:spacing w:line="480" w:lineRule="auto"/>
      </w:pPr>
      <w:proofErr w:type="spellStart"/>
      <w:r w:rsidRPr="001877EC">
        <w:t>Numbeo</w:t>
      </w:r>
      <w:proofErr w:type="spellEnd"/>
      <w:r w:rsidRPr="001877EC">
        <w:t xml:space="preserve">. (2020). </w:t>
      </w:r>
      <w:r w:rsidRPr="001877EC">
        <w:rPr>
          <w:i/>
          <w:iCs/>
        </w:rPr>
        <w:t>Pollution Comparison Between Dhaka, Bangladesh And Toronto, Canada</w:t>
      </w:r>
      <w:r w:rsidRPr="001877EC">
        <w:t>. https://www.numbeo.com/pollution/compare_cities.jsp?country1=Bangladesh&amp;city1=Dhaka&amp;country2=Canada&amp;city2=Toronto</w:t>
      </w:r>
    </w:p>
    <w:p w14:paraId="27FD75C4" w14:textId="77777777" w:rsidR="00CD3C13" w:rsidRPr="00CD3C13" w:rsidRDefault="00CD3C13" w:rsidP="00E36244">
      <w:pPr>
        <w:spacing w:line="480" w:lineRule="auto"/>
      </w:pPr>
      <w:r w:rsidRPr="00CD3C13">
        <w:t xml:space="preserve">Azad, A. K., &amp; </w:t>
      </w:r>
      <w:proofErr w:type="spellStart"/>
      <w:r w:rsidRPr="00CD3C13">
        <w:t>Kitada</w:t>
      </w:r>
      <w:proofErr w:type="spellEnd"/>
      <w:r w:rsidRPr="00CD3C13">
        <w:t xml:space="preserve">, T. (1998). Characteristics of the air pollution in the city of Dhaka, Bangladesh in winter. </w:t>
      </w:r>
      <w:r w:rsidRPr="00CD3C13">
        <w:rPr>
          <w:i/>
          <w:iCs/>
        </w:rPr>
        <w:t>Atmospheric Environment</w:t>
      </w:r>
      <w:r w:rsidRPr="00CD3C13">
        <w:t xml:space="preserve">, </w:t>
      </w:r>
      <w:r w:rsidRPr="00CD3C13">
        <w:rPr>
          <w:i/>
          <w:iCs/>
        </w:rPr>
        <w:t>32</w:t>
      </w:r>
      <w:r w:rsidRPr="00CD3C13">
        <w:t>(11), 1991–2005. https://doi.org/10.1016/s1352-2310(97)00508-6</w:t>
      </w:r>
    </w:p>
    <w:p w14:paraId="0EF74839" w14:textId="77777777" w:rsidR="00711065" w:rsidRPr="00711065" w:rsidRDefault="00711065" w:rsidP="00E36244">
      <w:pPr>
        <w:spacing w:line="480" w:lineRule="auto"/>
      </w:pPr>
      <w:proofErr w:type="spellStart"/>
      <w:r w:rsidRPr="00711065">
        <w:lastRenderedPageBreak/>
        <w:t>IQAir</w:t>
      </w:r>
      <w:proofErr w:type="spellEnd"/>
      <w:r w:rsidRPr="00711065">
        <w:t xml:space="preserve">. (2020, November 26). </w:t>
      </w:r>
      <w:r w:rsidRPr="00711065">
        <w:rPr>
          <w:i/>
          <w:iCs/>
        </w:rPr>
        <w:t>Toronto Downtown Air Quality Index (AQI) and Toronto Air Pollution | AirVisual</w:t>
      </w:r>
      <w:r w:rsidRPr="00711065">
        <w:t>. https://www.iqair.com/us/canada/ontario/toronto/toronto-downtown</w:t>
      </w:r>
    </w:p>
    <w:p w14:paraId="6D7E195D" w14:textId="77777777" w:rsidR="00124BC6" w:rsidRPr="00124BC6" w:rsidRDefault="00124BC6" w:rsidP="00E36244">
      <w:pPr>
        <w:spacing w:line="480" w:lineRule="auto"/>
      </w:pPr>
      <w:proofErr w:type="spellStart"/>
      <w:r w:rsidRPr="00124BC6">
        <w:t>Guttikunda</w:t>
      </w:r>
      <w:proofErr w:type="spellEnd"/>
      <w:r w:rsidRPr="00124BC6">
        <w:t xml:space="preserve">, S. K., &amp; </w:t>
      </w:r>
      <w:proofErr w:type="spellStart"/>
      <w:r w:rsidRPr="00124BC6">
        <w:t>Khaliquzzaman</w:t>
      </w:r>
      <w:proofErr w:type="spellEnd"/>
      <w:r w:rsidRPr="00124BC6">
        <w:t xml:space="preserve">, M. (2013). Health benefits of adapting cleaner brick manufacturing technologies in Dhaka, Bangladesh. </w:t>
      </w:r>
      <w:r w:rsidRPr="00124BC6">
        <w:rPr>
          <w:i/>
          <w:iCs/>
        </w:rPr>
        <w:t>Air Quality, Atmosphere &amp; Health</w:t>
      </w:r>
      <w:r w:rsidRPr="00124BC6">
        <w:t xml:space="preserve">, </w:t>
      </w:r>
      <w:r w:rsidRPr="00124BC6">
        <w:rPr>
          <w:i/>
          <w:iCs/>
        </w:rPr>
        <w:t>7</w:t>
      </w:r>
      <w:r w:rsidRPr="00124BC6">
        <w:t>(1), 103–112. https://doi.org/10.1007/s11869-013-0213-z</w:t>
      </w:r>
    </w:p>
    <w:p w14:paraId="0A1A3CDE" w14:textId="77777777" w:rsidR="00AD448F" w:rsidRPr="00AD448F" w:rsidRDefault="00AD448F" w:rsidP="00E36244">
      <w:pPr>
        <w:spacing w:line="480" w:lineRule="auto"/>
      </w:pPr>
      <w:proofErr w:type="spellStart"/>
      <w:r w:rsidRPr="00AD448F">
        <w:t>Hoel</w:t>
      </w:r>
      <w:proofErr w:type="spellEnd"/>
      <w:r w:rsidRPr="00AD448F">
        <w:t xml:space="preserve">, A. (2014, July 24). </w:t>
      </w:r>
      <w:r w:rsidRPr="00AD448F">
        <w:rPr>
          <w:i/>
          <w:iCs/>
        </w:rPr>
        <w:t>Cleaning Dhaka’s Air</w:t>
      </w:r>
      <w:r w:rsidRPr="00AD448F">
        <w:t>. World Bank. https://www.worldbank.org/en/news/feature/2014/07/24/cleaning-dhakas-air-bangladesh</w:t>
      </w:r>
    </w:p>
    <w:p w14:paraId="54538DD8" w14:textId="77777777" w:rsidR="00AD448F" w:rsidRPr="00AD448F" w:rsidRDefault="00AD448F" w:rsidP="00E36244">
      <w:pPr>
        <w:spacing w:line="480" w:lineRule="auto"/>
      </w:pPr>
      <w:r w:rsidRPr="00AD448F">
        <w:t xml:space="preserve">Wakefield, S. E. L., Elliott, S. J., Cole, D. C., &amp; </w:t>
      </w:r>
      <w:proofErr w:type="spellStart"/>
      <w:r w:rsidRPr="00AD448F">
        <w:t>Eyles</w:t>
      </w:r>
      <w:proofErr w:type="spellEnd"/>
      <w:r w:rsidRPr="00AD448F">
        <w:t xml:space="preserve">, J. D. (2001). Environmental risk and (re)action: air quality, health, and civic involvement in an urban industrial neighbourhood. </w:t>
      </w:r>
      <w:r w:rsidRPr="00AD448F">
        <w:rPr>
          <w:i/>
          <w:iCs/>
        </w:rPr>
        <w:t>Health &amp; Place</w:t>
      </w:r>
      <w:r w:rsidRPr="00AD448F">
        <w:t xml:space="preserve">, </w:t>
      </w:r>
      <w:r w:rsidRPr="00AD448F">
        <w:rPr>
          <w:i/>
          <w:iCs/>
        </w:rPr>
        <w:t>7</w:t>
      </w:r>
      <w:r w:rsidRPr="00AD448F">
        <w:t>(3), 163–177. https://doi.org/10.1016/s1353-8292(01)00006-5</w:t>
      </w:r>
    </w:p>
    <w:p w14:paraId="2DB9B48C" w14:textId="77777777" w:rsidR="00AD448F" w:rsidRPr="00AD448F" w:rsidRDefault="00AD448F" w:rsidP="00E36244">
      <w:pPr>
        <w:spacing w:line="480" w:lineRule="auto"/>
      </w:pPr>
      <w:proofErr w:type="spellStart"/>
      <w:r w:rsidRPr="00AD448F">
        <w:t>Hatzopoulou</w:t>
      </w:r>
      <w:proofErr w:type="spellEnd"/>
      <w:r w:rsidRPr="00AD448F">
        <w:t xml:space="preserve">, M., &amp; Miller, E. J. (2010). Linking an activity-based travel demand model with traffic emission and dispersion models: Transport’s contribution to air pollution in Toronto. </w:t>
      </w:r>
      <w:r w:rsidRPr="00AD448F">
        <w:rPr>
          <w:i/>
          <w:iCs/>
        </w:rPr>
        <w:t>Transportation Research Part D: Transport and Environment</w:t>
      </w:r>
      <w:r w:rsidRPr="00AD448F">
        <w:t xml:space="preserve">, </w:t>
      </w:r>
      <w:r w:rsidRPr="00AD448F">
        <w:rPr>
          <w:i/>
          <w:iCs/>
        </w:rPr>
        <w:t>15</w:t>
      </w:r>
      <w:r w:rsidRPr="00AD448F">
        <w:t>(6), 315–325. https://doi.org/10.1016/j.trd.2010.03.007</w:t>
      </w:r>
    </w:p>
    <w:p w14:paraId="2ADD5B2A" w14:textId="77777777" w:rsidR="00CD3C13" w:rsidRPr="001877EC" w:rsidRDefault="00CD3C13" w:rsidP="00E36244">
      <w:pPr>
        <w:spacing w:line="480" w:lineRule="auto"/>
      </w:pPr>
    </w:p>
    <w:p w14:paraId="3CA389D7" w14:textId="77777777" w:rsidR="001877EC" w:rsidRPr="00DE58AD" w:rsidRDefault="001877EC" w:rsidP="00E36244">
      <w:pPr>
        <w:spacing w:line="480" w:lineRule="auto"/>
      </w:pPr>
    </w:p>
    <w:sectPr w:rsidR="001877EC" w:rsidRPr="00DE58AD" w:rsidSect="0051434C">
      <w:headerReference w:type="default" r:id="rId1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AD5F3" w14:textId="77777777" w:rsidR="008D616F" w:rsidRDefault="008D616F" w:rsidP="0051434C">
      <w:pPr>
        <w:spacing w:after="0" w:line="240" w:lineRule="auto"/>
      </w:pPr>
      <w:r>
        <w:separator/>
      </w:r>
    </w:p>
  </w:endnote>
  <w:endnote w:type="continuationSeparator" w:id="0">
    <w:p w14:paraId="74E3F5EE" w14:textId="77777777" w:rsidR="008D616F" w:rsidRDefault="008D616F" w:rsidP="00514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66B5C" w14:textId="77777777" w:rsidR="008D616F" w:rsidRDefault="008D616F" w:rsidP="0051434C">
      <w:pPr>
        <w:spacing w:after="0" w:line="240" w:lineRule="auto"/>
      </w:pPr>
      <w:r>
        <w:separator/>
      </w:r>
    </w:p>
  </w:footnote>
  <w:footnote w:type="continuationSeparator" w:id="0">
    <w:p w14:paraId="3F4A7023" w14:textId="77777777" w:rsidR="008D616F" w:rsidRDefault="008D616F" w:rsidP="00514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2101154"/>
      <w:docPartObj>
        <w:docPartGallery w:val="Page Numbers (Top of Page)"/>
        <w:docPartUnique/>
      </w:docPartObj>
    </w:sdtPr>
    <w:sdtEndPr>
      <w:rPr>
        <w:noProof/>
      </w:rPr>
    </w:sdtEndPr>
    <w:sdtContent>
      <w:p w14:paraId="778F3422" w14:textId="0F8C6F2C" w:rsidR="0026784F" w:rsidRDefault="0026784F" w:rsidP="00C230E2">
        <w:pPr>
          <w:pStyle w:val="Header"/>
        </w:pPr>
        <w:r>
          <w:t xml:space="preserve">Air pollution                                                                                                                              </w:t>
        </w:r>
        <w:r>
          <w:fldChar w:fldCharType="begin"/>
        </w:r>
        <w:r>
          <w:instrText xml:space="preserve"> PAGE   \* MERGEFORMAT </w:instrText>
        </w:r>
        <w:r>
          <w:fldChar w:fldCharType="separate"/>
        </w:r>
        <w:r>
          <w:rPr>
            <w:noProof/>
          </w:rPr>
          <w:t>2</w:t>
        </w:r>
        <w:r>
          <w:rPr>
            <w:noProof/>
          </w:rPr>
          <w:fldChar w:fldCharType="end"/>
        </w:r>
      </w:p>
    </w:sdtContent>
  </w:sdt>
  <w:p w14:paraId="574FE0EB" w14:textId="77777777" w:rsidR="0026784F" w:rsidRDefault="00267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7F03FD"/>
    <w:multiLevelType w:val="hybridMultilevel"/>
    <w:tmpl w:val="66E2584C"/>
    <w:lvl w:ilvl="0" w:tplc="CEC8609E">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C8A74DC"/>
    <w:multiLevelType w:val="hybridMultilevel"/>
    <w:tmpl w:val="C95EC42C"/>
    <w:lvl w:ilvl="0" w:tplc="6F08F724">
      <w:start w:val="1"/>
      <w:numFmt w:val="decimal"/>
      <w:pStyle w:val="Heading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0894473"/>
    <w:multiLevelType w:val="hybridMultilevel"/>
    <w:tmpl w:val="41B071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0"/>
    <w:lvlOverride w:ilvl="0">
      <w:startOverride w:val="2"/>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BA6"/>
    <w:rsid w:val="00124BC6"/>
    <w:rsid w:val="00133D38"/>
    <w:rsid w:val="00157912"/>
    <w:rsid w:val="001877EC"/>
    <w:rsid w:val="0026784F"/>
    <w:rsid w:val="002C2CC8"/>
    <w:rsid w:val="003C2F05"/>
    <w:rsid w:val="004732BC"/>
    <w:rsid w:val="00486A08"/>
    <w:rsid w:val="004A459B"/>
    <w:rsid w:val="0051434C"/>
    <w:rsid w:val="006824EC"/>
    <w:rsid w:val="00711065"/>
    <w:rsid w:val="0075578C"/>
    <w:rsid w:val="00785BA6"/>
    <w:rsid w:val="007A2F0E"/>
    <w:rsid w:val="00835CEF"/>
    <w:rsid w:val="0083730C"/>
    <w:rsid w:val="008D616F"/>
    <w:rsid w:val="0094078B"/>
    <w:rsid w:val="009A5BA7"/>
    <w:rsid w:val="009F5FA9"/>
    <w:rsid w:val="00A01636"/>
    <w:rsid w:val="00A758B9"/>
    <w:rsid w:val="00A97DEE"/>
    <w:rsid w:val="00AD448F"/>
    <w:rsid w:val="00B24F30"/>
    <w:rsid w:val="00B256F8"/>
    <w:rsid w:val="00B5197B"/>
    <w:rsid w:val="00BE286E"/>
    <w:rsid w:val="00C230E2"/>
    <w:rsid w:val="00C43985"/>
    <w:rsid w:val="00C46ED1"/>
    <w:rsid w:val="00C73272"/>
    <w:rsid w:val="00CB42F2"/>
    <w:rsid w:val="00CD3C13"/>
    <w:rsid w:val="00DE58AD"/>
    <w:rsid w:val="00DF7B7C"/>
    <w:rsid w:val="00E36244"/>
    <w:rsid w:val="00F56055"/>
    <w:rsid w:val="00F76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DAB51"/>
  <w15:chartTrackingRefBased/>
  <w15:docId w15:val="{767A62F6-9054-4A55-B2DF-8DEAE125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055"/>
    <w:pPr>
      <w:spacing w:line="360" w:lineRule="auto"/>
      <w:jc w:val="both"/>
    </w:pPr>
    <w:rPr>
      <w:rFonts w:ascii="Times New Roman" w:hAnsi="Times New Roman"/>
      <w:sz w:val="24"/>
    </w:rPr>
  </w:style>
  <w:style w:type="paragraph" w:styleId="Heading1">
    <w:name w:val="heading 1"/>
    <w:basedOn w:val="Normal"/>
    <w:next w:val="Normal"/>
    <w:link w:val="Heading1Char"/>
    <w:autoRedefine/>
    <w:uiPriority w:val="9"/>
    <w:qFormat/>
    <w:rsid w:val="00E36244"/>
    <w:pPr>
      <w:keepNext/>
      <w:keepLines/>
      <w:numPr>
        <w:numId w:val="4"/>
      </w:numPr>
      <w:spacing w:before="240" w:after="0" w:line="480" w:lineRule="auto"/>
      <w:outlineLvl w:val="0"/>
    </w:pPr>
    <w:rPr>
      <w:rFonts w:eastAsiaTheme="majorEastAsia" w:cstheme="majorBidi"/>
      <w:b/>
      <w:szCs w:val="3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BA6"/>
    <w:rPr>
      <w:color w:val="0563C1" w:themeColor="hyperlink"/>
      <w:u w:val="single"/>
    </w:rPr>
  </w:style>
  <w:style w:type="character" w:styleId="UnresolvedMention">
    <w:name w:val="Unresolved Mention"/>
    <w:basedOn w:val="DefaultParagraphFont"/>
    <w:uiPriority w:val="99"/>
    <w:semiHidden/>
    <w:unhideWhenUsed/>
    <w:rsid w:val="00785BA6"/>
    <w:rPr>
      <w:color w:val="605E5C"/>
      <w:shd w:val="clear" w:color="auto" w:fill="E1DFDD"/>
    </w:rPr>
  </w:style>
  <w:style w:type="character" w:customStyle="1" w:styleId="Heading1Char">
    <w:name w:val="Heading 1 Char"/>
    <w:basedOn w:val="DefaultParagraphFont"/>
    <w:link w:val="Heading1"/>
    <w:uiPriority w:val="9"/>
    <w:rsid w:val="00E36244"/>
    <w:rPr>
      <w:rFonts w:ascii="Times New Roman" w:eastAsiaTheme="majorEastAsia" w:hAnsi="Times New Roman" w:cstheme="majorBidi"/>
      <w:b/>
      <w:sz w:val="24"/>
      <w:szCs w:val="32"/>
      <w:lang w:val="en-US"/>
    </w:rPr>
  </w:style>
  <w:style w:type="table" w:styleId="TableGridLight">
    <w:name w:val="Grid Table Light"/>
    <w:basedOn w:val="TableNormal"/>
    <w:uiPriority w:val="40"/>
    <w:rsid w:val="0051434C"/>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514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34C"/>
    <w:rPr>
      <w:rFonts w:ascii="Times New Roman" w:hAnsi="Times New Roman"/>
      <w:sz w:val="24"/>
    </w:rPr>
  </w:style>
  <w:style w:type="paragraph" w:styleId="Footer">
    <w:name w:val="footer"/>
    <w:basedOn w:val="Normal"/>
    <w:link w:val="FooterChar"/>
    <w:uiPriority w:val="99"/>
    <w:unhideWhenUsed/>
    <w:rsid w:val="00514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34C"/>
    <w:rPr>
      <w:rFonts w:ascii="Times New Roman" w:hAnsi="Times New Roman"/>
      <w:sz w:val="24"/>
    </w:rPr>
  </w:style>
  <w:style w:type="table" w:styleId="PlainTable1">
    <w:name w:val="Plain Table 1"/>
    <w:basedOn w:val="TableNormal"/>
    <w:uiPriority w:val="41"/>
    <w:rsid w:val="00C230E2"/>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5">
    <w:name w:val="Grid Table 1 Light Accent 5"/>
    <w:basedOn w:val="TableNormal"/>
    <w:uiPriority w:val="46"/>
    <w:rsid w:val="00C230E2"/>
    <w:pPr>
      <w:spacing w:after="0" w:line="240" w:lineRule="auto"/>
    </w:pPr>
    <w:rPr>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eGrid">
    <w:name w:val="Table Grid"/>
    <w:basedOn w:val="TableNormal"/>
    <w:uiPriority w:val="39"/>
    <w:rsid w:val="00187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824EC"/>
    <w:pPr>
      <w:numPr>
        <w:numId w:val="0"/>
      </w:numPr>
      <w:spacing w:line="259" w:lineRule="auto"/>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6824E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56658">
      <w:bodyDiv w:val="1"/>
      <w:marLeft w:val="0"/>
      <w:marRight w:val="0"/>
      <w:marTop w:val="0"/>
      <w:marBottom w:val="0"/>
      <w:divBdr>
        <w:top w:val="none" w:sz="0" w:space="0" w:color="auto"/>
        <w:left w:val="none" w:sz="0" w:space="0" w:color="auto"/>
        <w:bottom w:val="none" w:sz="0" w:space="0" w:color="auto"/>
        <w:right w:val="none" w:sz="0" w:space="0" w:color="auto"/>
      </w:divBdr>
    </w:div>
    <w:div w:id="70277872">
      <w:bodyDiv w:val="1"/>
      <w:marLeft w:val="0"/>
      <w:marRight w:val="0"/>
      <w:marTop w:val="0"/>
      <w:marBottom w:val="0"/>
      <w:divBdr>
        <w:top w:val="none" w:sz="0" w:space="0" w:color="auto"/>
        <w:left w:val="none" w:sz="0" w:space="0" w:color="auto"/>
        <w:bottom w:val="none" w:sz="0" w:space="0" w:color="auto"/>
        <w:right w:val="none" w:sz="0" w:space="0" w:color="auto"/>
      </w:divBdr>
    </w:div>
    <w:div w:id="72970362">
      <w:bodyDiv w:val="1"/>
      <w:marLeft w:val="0"/>
      <w:marRight w:val="0"/>
      <w:marTop w:val="0"/>
      <w:marBottom w:val="0"/>
      <w:divBdr>
        <w:top w:val="none" w:sz="0" w:space="0" w:color="auto"/>
        <w:left w:val="none" w:sz="0" w:space="0" w:color="auto"/>
        <w:bottom w:val="none" w:sz="0" w:space="0" w:color="auto"/>
        <w:right w:val="none" w:sz="0" w:space="0" w:color="auto"/>
      </w:divBdr>
    </w:div>
    <w:div w:id="82915594">
      <w:bodyDiv w:val="1"/>
      <w:marLeft w:val="0"/>
      <w:marRight w:val="0"/>
      <w:marTop w:val="0"/>
      <w:marBottom w:val="0"/>
      <w:divBdr>
        <w:top w:val="none" w:sz="0" w:space="0" w:color="auto"/>
        <w:left w:val="none" w:sz="0" w:space="0" w:color="auto"/>
        <w:bottom w:val="none" w:sz="0" w:space="0" w:color="auto"/>
        <w:right w:val="none" w:sz="0" w:space="0" w:color="auto"/>
      </w:divBdr>
    </w:div>
    <w:div w:id="94061057">
      <w:bodyDiv w:val="1"/>
      <w:marLeft w:val="0"/>
      <w:marRight w:val="0"/>
      <w:marTop w:val="0"/>
      <w:marBottom w:val="0"/>
      <w:divBdr>
        <w:top w:val="none" w:sz="0" w:space="0" w:color="auto"/>
        <w:left w:val="none" w:sz="0" w:space="0" w:color="auto"/>
        <w:bottom w:val="none" w:sz="0" w:space="0" w:color="auto"/>
        <w:right w:val="none" w:sz="0" w:space="0" w:color="auto"/>
      </w:divBdr>
    </w:div>
    <w:div w:id="140848602">
      <w:bodyDiv w:val="1"/>
      <w:marLeft w:val="0"/>
      <w:marRight w:val="0"/>
      <w:marTop w:val="0"/>
      <w:marBottom w:val="0"/>
      <w:divBdr>
        <w:top w:val="none" w:sz="0" w:space="0" w:color="auto"/>
        <w:left w:val="none" w:sz="0" w:space="0" w:color="auto"/>
        <w:bottom w:val="none" w:sz="0" w:space="0" w:color="auto"/>
        <w:right w:val="none" w:sz="0" w:space="0" w:color="auto"/>
      </w:divBdr>
    </w:div>
    <w:div w:id="157810956">
      <w:bodyDiv w:val="1"/>
      <w:marLeft w:val="0"/>
      <w:marRight w:val="0"/>
      <w:marTop w:val="0"/>
      <w:marBottom w:val="0"/>
      <w:divBdr>
        <w:top w:val="none" w:sz="0" w:space="0" w:color="auto"/>
        <w:left w:val="none" w:sz="0" w:space="0" w:color="auto"/>
        <w:bottom w:val="none" w:sz="0" w:space="0" w:color="auto"/>
        <w:right w:val="none" w:sz="0" w:space="0" w:color="auto"/>
      </w:divBdr>
    </w:div>
    <w:div w:id="184441686">
      <w:bodyDiv w:val="1"/>
      <w:marLeft w:val="0"/>
      <w:marRight w:val="0"/>
      <w:marTop w:val="0"/>
      <w:marBottom w:val="0"/>
      <w:divBdr>
        <w:top w:val="none" w:sz="0" w:space="0" w:color="auto"/>
        <w:left w:val="none" w:sz="0" w:space="0" w:color="auto"/>
        <w:bottom w:val="none" w:sz="0" w:space="0" w:color="auto"/>
        <w:right w:val="none" w:sz="0" w:space="0" w:color="auto"/>
      </w:divBdr>
    </w:div>
    <w:div w:id="220751229">
      <w:bodyDiv w:val="1"/>
      <w:marLeft w:val="0"/>
      <w:marRight w:val="0"/>
      <w:marTop w:val="0"/>
      <w:marBottom w:val="0"/>
      <w:divBdr>
        <w:top w:val="none" w:sz="0" w:space="0" w:color="auto"/>
        <w:left w:val="none" w:sz="0" w:space="0" w:color="auto"/>
        <w:bottom w:val="none" w:sz="0" w:space="0" w:color="auto"/>
        <w:right w:val="none" w:sz="0" w:space="0" w:color="auto"/>
      </w:divBdr>
    </w:div>
    <w:div w:id="227887545">
      <w:bodyDiv w:val="1"/>
      <w:marLeft w:val="0"/>
      <w:marRight w:val="0"/>
      <w:marTop w:val="0"/>
      <w:marBottom w:val="0"/>
      <w:divBdr>
        <w:top w:val="none" w:sz="0" w:space="0" w:color="auto"/>
        <w:left w:val="none" w:sz="0" w:space="0" w:color="auto"/>
        <w:bottom w:val="none" w:sz="0" w:space="0" w:color="auto"/>
        <w:right w:val="none" w:sz="0" w:space="0" w:color="auto"/>
      </w:divBdr>
    </w:div>
    <w:div w:id="258175896">
      <w:bodyDiv w:val="1"/>
      <w:marLeft w:val="0"/>
      <w:marRight w:val="0"/>
      <w:marTop w:val="0"/>
      <w:marBottom w:val="0"/>
      <w:divBdr>
        <w:top w:val="none" w:sz="0" w:space="0" w:color="auto"/>
        <w:left w:val="none" w:sz="0" w:space="0" w:color="auto"/>
        <w:bottom w:val="none" w:sz="0" w:space="0" w:color="auto"/>
        <w:right w:val="none" w:sz="0" w:space="0" w:color="auto"/>
      </w:divBdr>
    </w:div>
    <w:div w:id="279337287">
      <w:bodyDiv w:val="1"/>
      <w:marLeft w:val="0"/>
      <w:marRight w:val="0"/>
      <w:marTop w:val="0"/>
      <w:marBottom w:val="0"/>
      <w:divBdr>
        <w:top w:val="none" w:sz="0" w:space="0" w:color="auto"/>
        <w:left w:val="none" w:sz="0" w:space="0" w:color="auto"/>
        <w:bottom w:val="none" w:sz="0" w:space="0" w:color="auto"/>
        <w:right w:val="none" w:sz="0" w:space="0" w:color="auto"/>
      </w:divBdr>
    </w:div>
    <w:div w:id="295065737">
      <w:bodyDiv w:val="1"/>
      <w:marLeft w:val="0"/>
      <w:marRight w:val="0"/>
      <w:marTop w:val="0"/>
      <w:marBottom w:val="0"/>
      <w:divBdr>
        <w:top w:val="none" w:sz="0" w:space="0" w:color="auto"/>
        <w:left w:val="none" w:sz="0" w:space="0" w:color="auto"/>
        <w:bottom w:val="none" w:sz="0" w:space="0" w:color="auto"/>
        <w:right w:val="none" w:sz="0" w:space="0" w:color="auto"/>
      </w:divBdr>
    </w:div>
    <w:div w:id="333649498">
      <w:bodyDiv w:val="1"/>
      <w:marLeft w:val="0"/>
      <w:marRight w:val="0"/>
      <w:marTop w:val="0"/>
      <w:marBottom w:val="0"/>
      <w:divBdr>
        <w:top w:val="none" w:sz="0" w:space="0" w:color="auto"/>
        <w:left w:val="none" w:sz="0" w:space="0" w:color="auto"/>
        <w:bottom w:val="none" w:sz="0" w:space="0" w:color="auto"/>
        <w:right w:val="none" w:sz="0" w:space="0" w:color="auto"/>
      </w:divBdr>
    </w:div>
    <w:div w:id="354430610">
      <w:bodyDiv w:val="1"/>
      <w:marLeft w:val="0"/>
      <w:marRight w:val="0"/>
      <w:marTop w:val="0"/>
      <w:marBottom w:val="0"/>
      <w:divBdr>
        <w:top w:val="none" w:sz="0" w:space="0" w:color="auto"/>
        <w:left w:val="none" w:sz="0" w:space="0" w:color="auto"/>
        <w:bottom w:val="none" w:sz="0" w:space="0" w:color="auto"/>
        <w:right w:val="none" w:sz="0" w:space="0" w:color="auto"/>
      </w:divBdr>
    </w:div>
    <w:div w:id="441073508">
      <w:bodyDiv w:val="1"/>
      <w:marLeft w:val="0"/>
      <w:marRight w:val="0"/>
      <w:marTop w:val="0"/>
      <w:marBottom w:val="0"/>
      <w:divBdr>
        <w:top w:val="none" w:sz="0" w:space="0" w:color="auto"/>
        <w:left w:val="none" w:sz="0" w:space="0" w:color="auto"/>
        <w:bottom w:val="none" w:sz="0" w:space="0" w:color="auto"/>
        <w:right w:val="none" w:sz="0" w:space="0" w:color="auto"/>
      </w:divBdr>
    </w:div>
    <w:div w:id="507674500">
      <w:bodyDiv w:val="1"/>
      <w:marLeft w:val="0"/>
      <w:marRight w:val="0"/>
      <w:marTop w:val="0"/>
      <w:marBottom w:val="0"/>
      <w:divBdr>
        <w:top w:val="none" w:sz="0" w:space="0" w:color="auto"/>
        <w:left w:val="none" w:sz="0" w:space="0" w:color="auto"/>
        <w:bottom w:val="none" w:sz="0" w:space="0" w:color="auto"/>
        <w:right w:val="none" w:sz="0" w:space="0" w:color="auto"/>
      </w:divBdr>
    </w:div>
    <w:div w:id="528832561">
      <w:bodyDiv w:val="1"/>
      <w:marLeft w:val="0"/>
      <w:marRight w:val="0"/>
      <w:marTop w:val="0"/>
      <w:marBottom w:val="0"/>
      <w:divBdr>
        <w:top w:val="none" w:sz="0" w:space="0" w:color="auto"/>
        <w:left w:val="none" w:sz="0" w:space="0" w:color="auto"/>
        <w:bottom w:val="none" w:sz="0" w:space="0" w:color="auto"/>
        <w:right w:val="none" w:sz="0" w:space="0" w:color="auto"/>
      </w:divBdr>
    </w:div>
    <w:div w:id="575820313">
      <w:bodyDiv w:val="1"/>
      <w:marLeft w:val="0"/>
      <w:marRight w:val="0"/>
      <w:marTop w:val="0"/>
      <w:marBottom w:val="0"/>
      <w:divBdr>
        <w:top w:val="none" w:sz="0" w:space="0" w:color="auto"/>
        <w:left w:val="none" w:sz="0" w:space="0" w:color="auto"/>
        <w:bottom w:val="none" w:sz="0" w:space="0" w:color="auto"/>
        <w:right w:val="none" w:sz="0" w:space="0" w:color="auto"/>
      </w:divBdr>
    </w:div>
    <w:div w:id="579606499">
      <w:bodyDiv w:val="1"/>
      <w:marLeft w:val="0"/>
      <w:marRight w:val="0"/>
      <w:marTop w:val="0"/>
      <w:marBottom w:val="0"/>
      <w:divBdr>
        <w:top w:val="none" w:sz="0" w:space="0" w:color="auto"/>
        <w:left w:val="none" w:sz="0" w:space="0" w:color="auto"/>
        <w:bottom w:val="none" w:sz="0" w:space="0" w:color="auto"/>
        <w:right w:val="none" w:sz="0" w:space="0" w:color="auto"/>
      </w:divBdr>
    </w:div>
    <w:div w:id="591863663">
      <w:bodyDiv w:val="1"/>
      <w:marLeft w:val="0"/>
      <w:marRight w:val="0"/>
      <w:marTop w:val="0"/>
      <w:marBottom w:val="0"/>
      <w:divBdr>
        <w:top w:val="none" w:sz="0" w:space="0" w:color="auto"/>
        <w:left w:val="none" w:sz="0" w:space="0" w:color="auto"/>
        <w:bottom w:val="none" w:sz="0" w:space="0" w:color="auto"/>
        <w:right w:val="none" w:sz="0" w:space="0" w:color="auto"/>
      </w:divBdr>
    </w:div>
    <w:div w:id="625821321">
      <w:bodyDiv w:val="1"/>
      <w:marLeft w:val="0"/>
      <w:marRight w:val="0"/>
      <w:marTop w:val="0"/>
      <w:marBottom w:val="0"/>
      <w:divBdr>
        <w:top w:val="none" w:sz="0" w:space="0" w:color="auto"/>
        <w:left w:val="none" w:sz="0" w:space="0" w:color="auto"/>
        <w:bottom w:val="none" w:sz="0" w:space="0" w:color="auto"/>
        <w:right w:val="none" w:sz="0" w:space="0" w:color="auto"/>
      </w:divBdr>
    </w:div>
    <w:div w:id="699822157">
      <w:bodyDiv w:val="1"/>
      <w:marLeft w:val="0"/>
      <w:marRight w:val="0"/>
      <w:marTop w:val="0"/>
      <w:marBottom w:val="0"/>
      <w:divBdr>
        <w:top w:val="none" w:sz="0" w:space="0" w:color="auto"/>
        <w:left w:val="none" w:sz="0" w:space="0" w:color="auto"/>
        <w:bottom w:val="none" w:sz="0" w:space="0" w:color="auto"/>
        <w:right w:val="none" w:sz="0" w:space="0" w:color="auto"/>
      </w:divBdr>
    </w:div>
    <w:div w:id="743526050">
      <w:bodyDiv w:val="1"/>
      <w:marLeft w:val="0"/>
      <w:marRight w:val="0"/>
      <w:marTop w:val="0"/>
      <w:marBottom w:val="0"/>
      <w:divBdr>
        <w:top w:val="none" w:sz="0" w:space="0" w:color="auto"/>
        <w:left w:val="none" w:sz="0" w:space="0" w:color="auto"/>
        <w:bottom w:val="none" w:sz="0" w:space="0" w:color="auto"/>
        <w:right w:val="none" w:sz="0" w:space="0" w:color="auto"/>
      </w:divBdr>
    </w:div>
    <w:div w:id="753402631">
      <w:bodyDiv w:val="1"/>
      <w:marLeft w:val="0"/>
      <w:marRight w:val="0"/>
      <w:marTop w:val="0"/>
      <w:marBottom w:val="0"/>
      <w:divBdr>
        <w:top w:val="none" w:sz="0" w:space="0" w:color="auto"/>
        <w:left w:val="none" w:sz="0" w:space="0" w:color="auto"/>
        <w:bottom w:val="none" w:sz="0" w:space="0" w:color="auto"/>
        <w:right w:val="none" w:sz="0" w:space="0" w:color="auto"/>
      </w:divBdr>
    </w:div>
    <w:div w:id="770901286">
      <w:bodyDiv w:val="1"/>
      <w:marLeft w:val="0"/>
      <w:marRight w:val="0"/>
      <w:marTop w:val="0"/>
      <w:marBottom w:val="0"/>
      <w:divBdr>
        <w:top w:val="none" w:sz="0" w:space="0" w:color="auto"/>
        <w:left w:val="none" w:sz="0" w:space="0" w:color="auto"/>
        <w:bottom w:val="none" w:sz="0" w:space="0" w:color="auto"/>
        <w:right w:val="none" w:sz="0" w:space="0" w:color="auto"/>
      </w:divBdr>
    </w:div>
    <w:div w:id="776682863">
      <w:bodyDiv w:val="1"/>
      <w:marLeft w:val="0"/>
      <w:marRight w:val="0"/>
      <w:marTop w:val="0"/>
      <w:marBottom w:val="0"/>
      <w:divBdr>
        <w:top w:val="none" w:sz="0" w:space="0" w:color="auto"/>
        <w:left w:val="none" w:sz="0" w:space="0" w:color="auto"/>
        <w:bottom w:val="none" w:sz="0" w:space="0" w:color="auto"/>
        <w:right w:val="none" w:sz="0" w:space="0" w:color="auto"/>
      </w:divBdr>
    </w:div>
    <w:div w:id="784615990">
      <w:bodyDiv w:val="1"/>
      <w:marLeft w:val="0"/>
      <w:marRight w:val="0"/>
      <w:marTop w:val="0"/>
      <w:marBottom w:val="0"/>
      <w:divBdr>
        <w:top w:val="none" w:sz="0" w:space="0" w:color="auto"/>
        <w:left w:val="none" w:sz="0" w:space="0" w:color="auto"/>
        <w:bottom w:val="none" w:sz="0" w:space="0" w:color="auto"/>
        <w:right w:val="none" w:sz="0" w:space="0" w:color="auto"/>
      </w:divBdr>
    </w:div>
    <w:div w:id="806976540">
      <w:bodyDiv w:val="1"/>
      <w:marLeft w:val="0"/>
      <w:marRight w:val="0"/>
      <w:marTop w:val="0"/>
      <w:marBottom w:val="0"/>
      <w:divBdr>
        <w:top w:val="none" w:sz="0" w:space="0" w:color="auto"/>
        <w:left w:val="none" w:sz="0" w:space="0" w:color="auto"/>
        <w:bottom w:val="none" w:sz="0" w:space="0" w:color="auto"/>
        <w:right w:val="none" w:sz="0" w:space="0" w:color="auto"/>
      </w:divBdr>
    </w:div>
    <w:div w:id="840200112">
      <w:bodyDiv w:val="1"/>
      <w:marLeft w:val="0"/>
      <w:marRight w:val="0"/>
      <w:marTop w:val="0"/>
      <w:marBottom w:val="0"/>
      <w:divBdr>
        <w:top w:val="none" w:sz="0" w:space="0" w:color="auto"/>
        <w:left w:val="none" w:sz="0" w:space="0" w:color="auto"/>
        <w:bottom w:val="none" w:sz="0" w:space="0" w:color="auto"/>
        <w:right w:val="none" w:sz="0" w:space="0" w:color="auto"/>
      </w:divBdr>
    </w:div>
    <w:div w:id="868177967">
      <w:bodyDiv w:val="1"/>
      <w:marLeft w:val="0"/>
      <w:marRight w:val="0"/>
      <w:marTop w:val="0"/>
      <w:marBottom w:val="0"/>
      <w:divBdr>
        <w:top w:val="none" w:sz="0" w:space="0" w:color="auto"/>
        <w:left w:val="none" w:sz="0" w:space="0" w:color="auto"/>
        <w:bottom w:val="none" w:sz="0" w:space="0" w:color="auto"/>
        <w:right w:val="none" w:sz="0" w:space="0" w:color="auto"/>
      </w:divBdr>
    </w:div>
    <w:div w:id="880244161">
      <w:bodyDiv w:val="1"/>
      <w:marLeft w:val="0"/>
      <w:marRight w:val="0"/>
      <w:marTop w:val="0"/>
      <w:marBottom w:val="0"/>
      <w:divBdr>
        <w:top w:val="none" w:sz="0" w:space="0" w:color="auto"/>
        <w:left w:val="none" w:sz="0" w:space="0" w:color="auto"/>
        <w:bottom w:val="none" w:sz="0" w:space="0" w:color="auto"/>
        <w:right w:val="none" w:sz="0" w:space="0" w:color="auto"/>
      </w:divBdr>
    </w:div>
    <w:div w:id="884374269">
      <w:bodyDiv w:val="1"/>
      <w:marLeft w:val="0"/>
      <w:marRight w:val="0"/>
      <w:marTop w:val="0"/>
      <w:marBottom w:val="0"/>
      <w:divBdr>
        <w:top w:val="none" w:sz="0" w:space="0" w:color="auto"/>
        <w:left w:val="none" w:sz="0" w:space="0" w:color="auto"/>
        <w:bottom w:val="none" w:sz="0" w:space="0" w:color="auto"/>
        <w:right w:val="none" w:sz="0" w:space="0" w:color="auto"/>
      </w:divBdr>
    </w:div>
    <w:div w:id="937981663">
      <w:bodyDiv w:val="1"/>
      <w:marLeft w:val="0"/>
      <w:marRight w:val="0"/>
      <w:marTop w:val="0"/>
      <w:marBottom w:val="0"/>
      <w:divBdr>
        <w:top w:val="none" w:sz="0" w:space="0" w:color="auto"/>
        <w:left w:val="none" w:sz="0" w:space="0" w:color="auto"/>
        <w:bottom w:val="none" w:sz="0" w:space="0" w:color="auto"/>
        <w:right w:val="none" w:sz="0" w:space="0" w:color="auto"/>
      </w:divBdr>
    </w:div>
    <w:div w:id="1006903208">
      <w:bodyDiv w:val="1"/>
      <w:marLeft w:val="0"/>
      <w:marRight w:val="0"/>
      <w:marTop w:val="0"/>
      <w:marBottom w:val="0"/>
      <w:divBdr>
        <w:top w:val="none" w:sz="0" w:space="0" w:color="auto"/>
        <w:left w:val="none" w:sz="0" w:space="0" w:color="auto"/>
        <w:bottom w:val="none" w:sz="0" w:space="0" w:color="auto"/>
        <w:right w:val="none" w:sz="0" w:space="0" w:color="auto"/>
      </w:divBdr>
    </w:div>
    <w:div w:id="1018122169">
      <w:bodyDiv w:val="1"/>
      <w:marLeft w:val="0"/>
      <w:marRight w:val="0"/>
      <w:marTop w:val="0"/>
      <w:marBottom w:val="0"/>
      <w:divBdr>
        <w:top w:val="none" w:sz="0" w:space="0" w:color="auto"/>
        <w:left w:val="none" w:sz="0" w:space="0" w:color="auto"/>
        <w:bottom w:val="none" w:sz="0" w:space="0" w:color="auto"/>
        <w:right w:val="none" w:sz="0" w:space="0" w:color="auto"/>
      </w:divBdr>
    </w:div>
    <w:div w:id="1022050535">
      <w:bodyDiv w:val="1"/>
      <w:marLeft w:val="0"/>
      <w:marRight w:val="0"/>
      <w:marTop w:val="0"/>
      <w:marBottom w:val="0"/>
      <w:divBdr>
        <w:top w:val="none" w:sz="0" w:space="0" w:color="auto"/>
        <w:left w:val="none" w:sz="0" w:space="0" w:color="auto"/>
        <w:bottom w:val="none" w:sz="0" w:space="0" w:color="auto"/>
        <w:right w:val="none" w:sz="0" w:space="0" w:color="auto"/>
      </w:divBdr>
    </w:div>
    <w:div w:id="1082681498">
      <w:bodyDiv w:val="1"/>
      <w:marLeft w:val="0"/>
      <w:marRight w:val="0"/>
      <w:marTop w:val="0"/>
      <w:marBottom w:val="0"/>
      <w:divBdr>
        <w:top w:val="none" w:sz="0" w:space="0" w:color="auto"/>
        <w:left w:val="none" w:sz="0" w:space="0" w:color="auto"/>
        <w:bottom w:val="none" w:sz="0" w:space="0" w:color="auto"/>
        <w:right w:val="none" w:sz="0" w:space="0" w:color="auto"/>
      </w:divBdr>
    </w:div>
    <w:div w:id="1114207547">
      <w:bodyDiv w:val="1"/>
      <w:marLeft w:val="0"/>
      <w:marRight w:val="0"/>
      <w:marTop w:val="0"/>
      <w:marBottom w:val="0"/>
      <w:divBdr>
        <w:top w:val="none" w:sz="0" w:space="0" w:color="auto"/>
        <w:left w:val="none" w:sz="0" w:space="0" w:color="auto"/>
        <w:bottom w:val="none" w:sz="0" w:space="0" w:color="auto"/>
        <w:right w:val="none" w:sz="0" w:space="0" w:color="auto"/>
      </w:divBdr>
    </w:div>
    <w:div w:id="1172794788">
      <w:bodyDiv w:val="1"/>
      <w:marLeft w:val="0"/>
      <w:marRight w:val="0"/>
      <w:marTop w:val="0"/>
      <w:marBottom w:val="0"/>
      <w:divBdr>
        <w:top w:val="none" w:sz="0" w:space="0" w:color="auto"/>
        <w:left w:val="none" w:sz="0" w:space="0" w:color="auto"/>
        <w:bottom w:val="none" w:sz="0" w:space="0" w:color="auto"/>
        <w:right w:val="none" w:sz="0" w:space="0" w:color="auto"/>
      </w:divBdr>
    </w:div>
    <w:div w:id="1186595915">
      <w:bodyDiv w:val="1"/>
      <w:marLeft w:val="0"/>
      <w:marRight w:val="0"/>
      <w:marTop w:val="0"/>
      <w:marBottom w:val="0"/>
      <w:divBdr>
        <w:top w:val="none" w:sz="0" w:space="0" w:color="auto"/>
        <w:left w:val="none" w:sz="0" w:space="0" w:color="auto"/>
        <w:bottom w:val="none" w:sz="0" w:space="0" w:color="auto"/>
        <w:right w:val="none" w:sz="0" w:space="0" w:color="auto"/>
      </w:divBdr>
    </w:div>
    <w:div w:id="1212110039">
      <w:bodyDiv w:val="1"/>
      <w:marLeft w:val="0"/>
      <w:marRight w:val="0"/>
      <w:marTop w:val="0"/>
      <w:marBottom w:val="0"/>
      <w:divBdr>
        <w:top w:val="none" w:sz="0" w:space="0" w:color="auto"/>
        <w:left w:val="none" w:sz="0" w:space="0" w:color="auto"/>
        <w:bottom w:val="none" w:sz="0" w:space="0" w:color="auto"/>
        <w:right w:val="none" w:sz="0" w:space="0" w:color="auto"/>
      </w:divBdr>
    </w:div>
    <w:div w:id="1212881044">
      <w:bodyDiv w:val="1"/>
      <w:marLeft w:val="0"/>
      <w:marRight w:val="0"/>
      <w:marTop w:val="0"/>
      <w:marBottom w:val="0"/>
      <w:divBdr>
        <w:top w:val="none" w:sz="0" w:space="0" w:color="auto"/>
        <w:left w:val="none" w:sz="0" w:space="0" w:color="auto"/>
        <w:bottom w:val="none" w:sz="0" w:space="0" w:color="auto"/>
        <w:right w:val="none" w:sz="0" w:space="0" w:color="auto"/>
      </w:divBdr>
    </w:div>
    <w:div w:id="1314483144">
      <w:bodyDiv w:val="1"/>
      <w:marLeft w:val="0"/>
      <w:marRight w:val="0"/>
      <w:marTop w:val="0"/>
      <w:marBottom w:val="0"/>
      <w:divBdr>
        <w:top w:val="none" w:sz="0" w:space="0" w:color="auto"/>
        <w:left w:val="none" w:sz="0" w:space="0" w:color="auto"/>
        <w:bottom w:val="none" w:sz="0" w:space="0" w:color="auto"/>
        <w:right w:val="none" w:sz="0" w:space="0" w:color="auto"/>
      </w:divBdr>
    </w:div>
    <w:div w:id="1334382753">
      <w:bodyDiv w:val="1"/>
      <w:marLeft w:val="0"/>
      <w:marRight w:val="0"/>
      <w:marTop w:val="0"/>
      <w:marBottom w:val="0"/>
      <w:divBdr>
        <w:top w:val="none" w:sz="0" w:space="0" w:color="auto"/>
        <w:left w:val="none" w:sz="0" w:space="0" w:color="auto"/>
        <w:bottom w:val="none" w:sz="0" w:space="0" w:color="auto"/>
        <w:right w:val="none" w:sz="0" w:space="0" w:color="auto"/>
      </w:divBdr>
    </w:div>
    <w:div w:id="1335769238">
      <w:bodyDiv w:val="1"/>
      <w:marLeft w:val="0"/>
      <w:marRight w:val="0"/>
      <w:marTop w:val="0"/>
      <w:marBottom w:val="0"/>
      <w:divBdr>
        <w:top w:val="none" w:sz="0" w:space="0" w:color="auto"/>
        <w:left w:val="none" w:sz="0" w:space="0" w:color="auto"/>
        <w:bottom w:val="none" w:sz="0" w:space="0" w:color="auto"/>
        <w:right w:val="none" w:sz="0" w:space="0" w:color="auto"/>
      </w:divBdr>
    </w:div>
    <w:div w:id="1362366381">
      <w:bodyDiv w:val="1"/>
      <w:marLeft w:val="0"/>
      <w:marRight w:val="0"/>
      <w:marTop w:val="0"/>
      <w:marBottom w:val="0"/>
      <w:divBdr>
        <w:top w:val="none" w:sz="0" w:space="0" w:color="auto"/>
        <w:left w:val="none" w:sz="0" w:space="0" w:color="auto"/>
        <w:bottom w:val="none" w:sz="0" w:space="0" w:color="auto"/>
        <w:right w:val="none" w:sz="0" w:space="0" w:color="auto"/>
      </w:divBdr>
    </w:div>
    <w:div w:id="1374884073">
      <w:bodyDiv w:val="1"/>
      <w:marLeft w:val="0"/>
      <w:marRight w:val="0"/>
      <w:marTop w:val="0"/>
      <w:marBottom w:val="0"/>
      <w:divBdr>
        <w:top w:val="none" w:sz="0" w:space="0" w:color="auto"/>
        <w:left w:val="none" w:sz="0" w:space="0" w:color="auto"/>
        <w:bottom w:val="none" w:sz="0" w:space="0" w:color="auto"/>
        <w:right w:val="none" w:sz="0" w:space="0" w:color="auto"/>
      </w:divBdr>
    </w:div>
    <w:div w:id="1435173041">
      <w:bodyDiv w:val="1"/>
      <w:marLeft w:val="0"/>
      <w:marRight w:val="0"/>
      <w:marTop w:val="0"/>
      <w:marBottom w:val="0"/>
      <w:divBdr>
        <w:top w:val="none" w:sz="0" w:space="0" w:color="auto"/>
        <w:left w:val="none" w:sz="0" w:space="0" w:color="auto"/>
        <w:bottom w:val="none" w:sz="0" w:space="0" w:color="auto"/>
        <w:right w:val="none" w:sz="0" w:space="0" w:color="auto"/>
      </w:divBdr>
    </w:div>
    <w:div w:id="1448963078">
      <w:bodyDiv w:val="1"/>
      <w:marLeft w:val="0"/>
      <w:marRight w:val="0"/>
      <w:marTop w:val="0"/>
      <w:marBottom w:val="0"/>
      <w:divBdr>
        <w:top w:val="none" w:sz="0" w:space="0" w:color="auto"/>
        <w:left w:val="none" w:sz="0" w:space="0" w:color="auto"/>
        <w:bottom w:val="none" w:sz="0" w:space="0" w:color="auto"/>
        <w:right w:val="none" w:sz="0" w:space="0" w:color="auto"/>
      </w:divBdr>
    </w:div>
    <w:div w:id="1450856430">
      <w:bodyDiv w:val="1"/>
      <w:marLeft w:val="0"/>
      <w:marRight w:val="0"/>
      <w:marTop w:val="0"/>
      <w:marBottom w:val="0"/>
      <w:divBdr>
        <w:top w:val="none" w:sz="0" w:space="0" w:color="auto"/>
        <w:left w:val="none" w:sz="0" w:space="0" w:color="auto"/>
        <w:bottom w:val="none" w:sz="0" w:space="0" w:color="auto"/>
        <w:right w:val="none" w:sz="0" w:space="0" w:color="auto"/>
      </w:divBdr>
    </w:div>
    <w:div w:id="1460418141">
      <w:bodyDiv w:val="1"/>
      <w:marLeft w:val="0"/>
      <w:marRight w:val="0"/>
      <w:marTop w:val="0"/>
      <w:marBottom w:val="0"/>
      <w:divBdr>
        <w:top w:val="none" w:sz="0" w:space="0" w:color="auto"/>
        <w:left w:val="none" w:sz="0" w:space="0" w:color="auto"/>
        <w:bottom w:val="none" w:sz="0" w:space="0" w:color="auto"/>
        <w:right w:val="none" w:sz="0" w:space="0" w:color="auto"/>
      </w:divBdr>
    </w:div>
    <w:div w:id="1461194411">
      <w:bodyDiv w:val="1"/>
      <w:marLeft w:val="0"/>
      <w:marRight w:val="0"/>
      <w:marTop w:val="0"/>
      <w:marBottom w:val="0"/>
      <w:divBdr>
        <w:top w:val="none" w:sz="0" w:space="0" w:color="auto"/>
        <w:left w:val="none" w:sz="0" w:space="0" w:color="auto"/>
        <w:bottom w:val="none" w:sz="0" w:space="0" w:color="auto"/>
        <w:right w:val="none" w:sz="0" w:space="0" w:color="auto"/>
      </w:divBdr>
    </w:div>
    <w:div w:id="1492020422">
      <w:bodyDiv w:val="1"/>
      <w:marLeft w:val="0"/>
      <w:marRight w:val="0"/>
      <w:marTop w:val="0"/>
      <w:marBottom w:val="0"/>
      <w:divBdr>
        <w:top w:val="none" w:sz="0" w:space="0" w:color="auto"/>
        <w:left w:val="none" w:sz="0" w:space="0" w:color="auto"/>
        <w:bottom w:val="none" w:sz="0" w:space="0" w:color="auto"/>
        <w:right w:val="none" w:sz="0" w:space="0" w:color="auto"/>
      </w:divBdr>
    </w:div>
    <w:div w:id="1497333696">
      <w:bodyDiv w:val="1"/>
      <w:marLeft w:val="0"/>
      <w:marRight w:val="0"/>
      <w:marTop w:val="0"/>
      <w:marBottom w:val="0"/>
      <w:divBdr>
        <w:top w:val="none" w:sz="0" w:space="0" w:color="auto"/>
        <w:left w:val="none" w:sz="0" w:space="0" w:color="auto"/>
        <w:bottom w:val="none" w:sz="0" w:space="0" w:color="auto"/>
        <w:right w:val="none" w:sz="0" w:space="0" w:color="auto"/>
      </w:divBdr>
    </w:div>
    <w:div w:id="1517160775">
      <w:bodyDiv w:val="1"/>
      <w:marLeft w:val="0"/>
      <w:marRight w:val="0"/>
      <w:marTop w:val="0"/>
      <w:marBottom w:val="0"/>
      <w:divBdr>
        <w:top w:val="none" w:sz="0" w:space="0" w:color="auto"/>
        <w:left w:val="none" w:sz="0" w:space="0" w:color="auto"/>
        <w:bottom w:val="none" w:sz="0" w:space="0" w:color="auto"/>
        <w:right w:val="none" w:sz="0" w:space="0" w:color="auto"/>
      </w:divBdr>
    </w:div>
    <w:div w:id="1528369646">
      <w:bodyDiv w:val="1"/>
      <w:marLeft w:val="0"/>
      <w:marRight w:val="0"/>
      <w:marTop w:val="0"/>
      <w:marBottom w:val="0"/>
      <w:divBdr>
        <w:top w:val="none" w:sz="0" w:space="0" w:color="auto"/>
        <w:left w:val="none" w:sz="0" w:space="0" w:color="auto"/>
        <w:bottom w:val="none" w:sz="0" w:space="0" w:color="auto"/>
        <w:right w:val="none" w:sz="0" w:space="0" w:color="auto"/>
      </w:divBdr>
    </w:div>
    <w:div w:id="1559054810">
      <w:bodyDiv w:val="1"/>
      <w:marLeft w:val="0"/>
      <w:marRight w:val="0"/>
      <w:marTop w:val="0"/>
      <w:marBottom w:val="0"/>
      <w:divBdr>
        <w:top w:val="none" w:sz="0" w:space="0" w:color="auto"/>
        <w:left w:val="none" w:sz="0" w:space="0" w:color="auto"/>
        <w:bottom w:val="none" w:sz="0" w:space="0" w:color="auto"/>
        <w:right w:val="none" w:sz="0" w:space="0" w:color="auto"/>
      </w:divBdr>
    </w:div>
    <w:div w:id="1614707629">
      <w:bodyDiv w:val="1"/>
      <w:marLeft w:val="0"/>
      <w:marRight w:val="0"/>
      <w:marTop w:val="0"/>
      <w:marBottom w:val="0"/>
      <w:divBdr>
        <w:top w:val="none" w:sz="0" w:space="0" w:color="auto"/>
        <w:left w:val="none" w:sz="0" w:space="0" w:color="auto"/>
        <w:bottom w:val="none" w:sz="0" w:space="0" w:color="auto"/>
        <w:right w:val="none" w:sz="0" w:space="0" w:color="auto"/>
      </w:divBdr>
    </w:div>
    <w:div w:id="1641615531">
      <w:bodyDiv w:val="1"/>
      <w:marLeft w:val="0"/>
      <w:marRight w:val="0"/>
      <w:marTop w:val="0"/>
      <w:marBottom w:val="0"/>
      <w:divBdr>
        <w:top w:val="none" w:sz="0" w:space="0" w:color="auto"/>
        <w:left w:val="none" w:sz="0" w:space="0" w:color="auto"/>
        <w:bottom w:val="none" w:sz="0" w:space="0" w:color="auto"/>
        <w:right w:val="none" w:sz="0" w:space="0" w:color="auto"/>
      </w:divBdr>
    </w:div>
    <w:div w:id="1647004782">
      <w:bodyDiv w:val="1"/>
      <w:marLeft w:val="0"/>
      <w:marRight w:val="0"/>
      <w:marTop w:val="0"/>
      <w:marBottom w:val="0"/>
      <w:divBdr>
        <w:top w:val="none" w:sz="0" w:space="0" w:color="auto"/>
        <w:left w:val="none" w:sz="0" w:space="0" w:color="auto"/>
        <w:bottom w:val="none" w:sz="0" w:space="0" w:color="auto"/>
        <w:right w:val="none" w:sz="0" w:space="0" w:color="auto"/>
      </w:divBdr>
    </w:div>
    <w:div w:id="1659454317">
      <w:bodyDiv w:val="1"/>
      <w:marLeft w:val="0"/>
      <w:marRight w:val="0"/>
      <w:marTop w:val="0"/>
      <w:marBottom w:val="0"/>
      <w:divBdr>
        <w:top w:val="none" w:sz="0" w:space="0" w:color="auto"/>
        <w:left w:val="none" w:sz="0" w:space="0" w:color="auto"/>
        <w:bottom w:val="none" w:sz="0" w:space="0" w:color="auto"/>
        <w:right w:val="none" w:sz="0" w:space="0" w:color="auto"/>
      </w:divBdr>
    </w:div>
    <w:div w:id="1661884502">
      <w:bodyDiv w:val="1"/>
      <w:marLeft w:val="0"/>
      <w:marRight w:val="0"/>
      <w:marTop w:val="0"/>
      <w:marBottom w:val="0"/>
      <w:divBdr>
        <w:top w:val="none" w:sz="0" w:space="0" w:color="auto"/>
        <w:left w:val="none" w:sz="0" w:space="0" w:color="auto"/>
        <w:bottom w:val="none" w:sz="0" w:space="0" w:color="auto"/>
        <w:right w:val="none" w:sz="0" w:space="0" w:color="auto"/>
      </w:divBdr>
    </w:div>
    <w:div w:id="1676687060">
      <w:bodyDiv w:val="1"/>
      <w:marLeft w:val="0"/>
      <w:marRight w:val="0"/>
      <w:marTop w:val="0"/>
      <w:marBottom w:val="0"/>
      <w:divBdr>
        <w:top w:val="none" w:sz="0" w:space="0" w:color="auto"/>
        <w:left w:val="none" w:sz="0" w:space="0" w:color="auto"/>
        <w:bottom w:val="none" w:sz="0" w:space="0" w:color="auto"/>
        <w:right w:val="none" w:sz="0" w:space="0" w:color="auto"/>
      </w:divBdr>
    </w:div>
    <w:div w:id="1706322741">
      <w:bodyDiv w:val="1"/>
      <w:marLeft w:val="0"/>
      <w:marRight w:val="0"/>
      <w:marTop w:val="0"/>
      <w:marBottom w:val="0"/>
      <w:divBdr>
        <w:top w:val="none" w:sz="0" w:space="0" w:color="auto"/>
        <w:left w:val="none" w:sz="0" w:space="0" w:color="auto"/>
        <w:bottom w:val="none" w:sz="0" w:space="0" w:color="auto"/>
        <w:right w:val="none" w:sz="0" w:space="0" w:color="auto"/>
      </w:divBdr>
    </w:div>
    <w:div w:id="1746607813">
      <w:bodyDiv w:val="1"/>
      <w:marLeft w:val="0"/>
      <w:marRight w:val="0"/>
      <w:marTop w:val="0"/>
      <w:marBottom w:val="0"/>
      <w:divBdr>
        <w:top w:val="none" w:sz="0" w:space="0" w:color="auto"/>
        <w:left w:val="none" w:sz="0" w:space="0" w:color="auto"/>
        <w:bottom w:val="none" w:sz="0" w:space="0" w:color="auto"/>
        <w:right w:val="none" w:sz="0" w:space="0" w:color="auto"/>
      </w:divBdr>
    </w:div>
    <w:div w:id="1776754266">
      <w:bodyDiv w:val="1"/>
      <w:marLeft w:val="0"/>
      <w:marRight w:val="0"/>
      <w:marTop w:val="0"/>
      <w:marBottom w:val="0"/>
      <w:divBdr>
        <w:top w:val="none" w:sz="0" w:space="0" w:color="auto"/>
        <w:left w:val="none" w:sz="0" w:space="0" w:color="auto"/>
        <w:bottom w:val="none" w:sz="0" w:space="0" w:color="auto"/>
        <w:right w:val="none" w:sz="0" w:space="0" w:color="auto"/>
      </w:divBdr>
    </w:div>
    <w:div w:id="1793937596">
      <w:bodyDiv w:val="1"/>
      <w:marLeft w:val="0"/>
      <w:marRight w:val="0"/>
      <w:marTop w:val="0"/>
      <w:marBottom w:val="0"/>
      <w:divBdr>
        <w:top w:val="none" w:sz="0" w:space="0" w:color="auto"/>
        <w:left w:val="none" w:sz="0" w:space="0" w:color="auto"/>
        <w:bottom w:val="none" w:sz="0" w:space="0" w:color="auto"/>
        <w:right w:val="none" w:sz="0" w:space="0" w:color="auto"/>
      </w:divBdr>
    </w:div>
    <w:div w:id="1840196605">
      <w:bodyDiv w:val="1"/>
      <w:marLeft w:val="0"/>
      <w:marRight w:val="0"/>
      <w:marTop w:val="0"/>
      <w:marBottom w:val="0"/>
      <w:divBdr>
        <w:top w:val="none" w:sz="0" w:space="0" w:color="auto"/>
        <w:left w:val="none" w:sz="0" w:space="0" w:color="auto"/>
        <w:bottom w:val="none" w:sz="0" w:space="0" w:color="auto"/>
        <w:right w:val="none" w:sz="0" w:space="0" w:color="auto"/>
      </w:divBdr>
    </w:div>
    <w:div w:id="1876652410">
      <w:bodyDiv w:val="1"/>
      <w:marLeft w:val="0"/>
      <w:marRight w:val="0"/>
      <w:marTop w:val="0"/>
      <w:marBottom w:val="0"/>
      <w:divBdr>
        <w:top w:val="none" w:sz="0" w:space="0" w:color="auto"/>
        <w:left w:val="none" w:sz="0" w:space="0" w:color="auto"/>
        <w:bottom w:val="none" w:sz="0" w:space="0" w:color="auto"/>
        <w:right w:val="none" w:sz="0" w:space="0" w:color="auto"/>
      </w:divBdr>
    </w:div>
    <w:div w:id="1882668039">
      <w:bodyDiv w:val="1"/>
      <w:marLeft w:val="0"/>
      <w:marRight w:val="0"/>
      <w:marTop w:val="0"/>
      <w:marBottom w:val="0"/>
      <w:divBdr>
        <w:top w:val="none" w:sz="0" w:space="0" w:color="auto"/>
        <w:left w:val="none" w:sz="0" w:space="0" w:color="auto"/>
        <w:bottom w:val="none" w:sz="0" w:space="0" w:color="auto"/>
        <w:right w:val="none" w:sz="0" w:space="0" w:color="auto"/>
      </w:divBdr>
    </w:div>
    <w:div w:id="1902986149">
      <w:bodyDiv w:val="1"/>
      <w:marLeft w:val="0"/>
      <w:marRight w:val="0"/>
      <w:marTop w:val="0"/>
      <w:marBottom w:val="0"/>
      <w:divBdr>
        <w:top w:val="none" w:sz="0" w:space="0" w:color="auto"/>
        <w:left w:val="none" w:sz="0" w:space="0" w:color="auto"/>
        <w:bottom w:val="none" w:sz="0" w:space="0" w:color="auto"/>
        <w:right w:val="none" w:sz="0" w:space="0" w:color="auto"/>
      </w:divBdr>
    </w:div>
    <w:div w:id="1909265610">
      <w:bodyDiv w:val="1"/>
      <w:marLeft w:val="0"/>
      <w:marRight w:val="0"/>
      <w:marTop w:val="0"/>
      <w:marBottom w:val="0"/>
      <w:divBdr>
        <w:top w:val="none" w:sz="0" w:space="0" w:color="auto"/>
        <w:left w:val="none" w:sz="0" w:space="0" w:color="auto"/>
        <w:bottom w:val="none" w:sz="0" w:space="0" w:color="auto"/>
        <w:right w:val="none" w:sz="0" w:space="0" w:color="auto"/>
      </w:divBdr>
    </w:div>
    <w:div w:id="1911966477">
      <w:bodyDiv w:val="1"/>
      <w:marLeft w:val="0"/>
      <w:marRight w:val="0"/>
      <w:marTop w:val="0"/>
      <w:marBottom w:val="0"/>
      <w:divBdr>
        <w:top w:val="none" w:sz="0" w:space="0" w:color="auto"/>
        <w:left w:val="none" w:sz="0" w:space="0" w:color="auto"/>
        <w:bottom w:val="none" w:sz="0" w:space="0" w:color="auto"/>
        <w:right w:val="none" w:sz="0" w:space="0" w:color="auto"/>
      </w:divBdr>
    </w:div>
    <w:div w:id="1937326568">
      <w:bodyDiv w:val="1"/>
      <w:marLeft w:val="0"/>
      <w:marRight w:val="0"/>
      <w:marTop w:val="0"/>
      <w:marBottom w:val="0"/>
      <w:divBdr>
        <w:top w:val="none" w:sz="0" w:space="0" w:color="auto"/>
        <w:left w:val="none" w:sz="0" w:space="0" w:color="auto"/>
        <w:bottom w:val="none" w:sz="0" w:space="0" w:color="auto"/>
        <w:right w:val="none" w:sz="0" w:space="0" w:color="auto"/>
      </w:divBdr>
    </w:div>
    <w:div w:id="1945192433">
      <w:bodyDiv w:val="1"/>
      <w:marLeft w:val="0"/>
      <w:marRight w:val="0"/>
      <w:marTop w:val="0"/>
      <w:marBottom w:val="0"/>
      <w:divBdr>
        <w:top w:val="none" w:sz="0" w:space="0" w:color="auto"/>
        <w:left w:val="none" w:sz="0" w:space="0" w:color="auto"/>
        <w:bottom w:val="none" w:sz="0" w:space="0" w:color="auto"/>
        <w:right w:val="none" w:sz="0" w:space="0" w:color="auto"/>
      </w:divBdr>
    </w:div>
    <w:div w:id="1968973983">
      <w:bodyDiv w:val="1"/>
      <w:marLeft w:val="0"/>
      <w:marRight w:val="0"/>
      <w:marTop w:val="0"/>
      <w:marBottom w:val="0"/>
      <w:divBdr>
        <w:top w:val="none" w:sz="0" w:space="0" w:color="auto"/>
        <w:left w:val="none" w:sz="0" w:space="0" w:color="auto"/>
        <w:bottom w:val="none" w:sz="0" w:space="0" w:color="auto"/>
        <w:right w:val="none" w:sz="0" w:space="0" w:color="auto"/>
      </w:divBdr>
    </w:div>
    <w:div w:id="1979872225">
      <w:bodyDiv w:val="1"/>
      <w:marLeft w:val="0"/>
      <w:marRight w:val="0"/>
      <w:marTop w:val="0"/>
      <w:marBottom w:val="0"/>
      <w:divBdr>
        <w:top w:val="none" w:sz="0" w:space="0" w:color="auto"/>
        <w:left w:val="none" w:sz="0" w:space="0" w:color="auto"/>
        <w:bottom w:val="none" w:sz="0" w:space="0" w:color="auto"/>
        <w:right w:val="none" w:sz="0" w:space="0" w:color="auto"/>
      </w:divBdr>
    </w:div>
    <w:div w:id="2002466288">
      <w:bodyDiv w:val="1"/>
      <w:marLeft w:val="0"/>
      <w:marRight w:val="0"/>
      <w:marTop w:val="0"/>
      <w:marBottom w:val="0"/>
      <w:divBdr>
        <w:top w:val="none" w:sz="0" w:space="0" w:color="auto"/>
        <w:left w:val="none" w:sz="0" w:space="0" w:color="auto"/>
        <w:bottom w:val="none" w:sz="0" w:space="0" w:color="auto"/>
        <w:right w:val="none" w:sz="0" w:space="0" w:color="auto"/>
      </w:divBdr>
    </w:div>
    <w:div w:id="2016683156">
      <w:bodyDiv w:val="1"/>
      <w:marLeft w:val="0"/>
      <w:marRight w:val="0"/>
      <w:marTop w:val="0"/>
      <w:marBottom w:val="0"/>
      <w:divBdr>
        <w:top w:val="none" w:sz="0" w:space="0" w:color="auto"/>
        <w:left w:val="none" w:sz="0" w:space="0" w:color="auto"/>
        <w:bottom w:val="none" w:sz="0" w:space="0" w:color="auto"/>
        <w:right w:val="none" w:sz="0" w:space="0" w:color="auto"/>
      </w:divBdr>
    </w:div>
    <w:div w:id="2043479130">
      <w:bodyDiv w:val="1"/>
      <w:marLeft w:val="0"/>
      <w:marRight w:val="0"/>
      <w:marTop w:val="0"/>
      <w:marBottom w:val="0"/>
      <w:divBdr>
        <w:top w:val="none" w:sz="0" w:space="0" w:color="auto"/>
        <w:left w:val="none" w:sz="0" w:space="0" w:color="auto"/>
        <w:bottom w:val="none" w:sz="0" w:space="0" w:color="auto"/>
        <w:right w:val="none" w:sz="0" w:space="0" w:color="auto"/>
      </w:divBdr>
    </w:div>
    <w:div w:id="2068067186">
      <w:bodyDiv w:val="1"/>
      <w:marLeft w:val="0"/>
      <w:marRight w:val="0"/>
      <w:marTop w:val="0"/>
      <w:marBottom w:val="0"/>
      <w:divBdr>
        <w:top w:val="none" w:sz="0" w:space="0" w:color="auto"/>
        <w:left w:val="none" w:sz="0" w:space="0" w:color="auto"/>
        <w:bottom w:val="none" w:sz="0" w:space="0" w:color="auto"/>
        <w:right w:val="none" w:sz="0" w:space="0" w:color="auto"/>
      </w:divBdr>
    </w:div>
    <w:div w:id="2095081039">
      <w:bodyDiv w:val="1"/>
      <w:marLeft w:val="0"/>
      <w:marRight w:val="0"/>
      <w:marTop w:val="0"/>
      <w:marBottom w:val="0"/>
      <w:divBdr>
        <w:top w:val="none" w:sz="0" w:space="0" w:color="auto"/>
        <w:left w:val="none" w:sz="0" w:space="0" w:color="auto"/>
        <w:bottom w:val="none" w:sz="0" w:space="0" w:color="auto"/>
        <w:right w:val="none" w:sz="0" w:space="0" w:color="auto"/>
      </w:divBdr>
    </w:div>
    <w:div w:id="2095738204">
      <w:bodyDiv w:val="1"/>
      <w:marLeft w:val="0"/>
      <w:marRight w:val="0"/>
      <w:marTop w:val="0"/>
      <w:marBottom w:val="0"/>
      <w:divBdr>
        <w:top w:val="none" w:sz="0" w:space="0" w:color="auto"/>
        <w:left w:val="none" w:sz="0" w:space="0" w:color="auto"/>
        <w:bottom w:val="none" w:sz="0" w:space="0" w:color="auto"/>
        <w:right w:val="none" w:sz="0" w:space="0" w:color="auto"/>
      </w:divBdr>
    </w:div>
    <w:div w:id="2105149082">
      <w:bodyDiv w:val="1"/>
      <w:marLeft w:val="0"/>
      <w:marRight w:val="0"/>
      <w:marTop w:val="0"/>
      <w:marBottom w:val="0"/>
      <w:divBdr>
        <w:top w:val="none" w:sz="0" w:space="0" w:color="auto"/>
        <w:left w:val="none" w:sz="0" w:space="0" w:color="auto"/>
        <w:bottom w:val="none" w:sz="0" w:space="0" w:color="auto"/>
        <w:right w:val="none" w:sz="0" w:space="0" w:color="auto"/>
      </w:divBdr>
    </w:div>
    <w:div w:id="213825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7/s11869-010-013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0684/etj.v38i10A.69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16/j.envpol.2007.06.01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2468C-ADE7-45CE-9569-ACDFEFC41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5068</Words>
  <Characters>28890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fatima</dc:creator>
  <cp:keywords/>
  <dc:description/>
  <cp:lastModifiedBy>Alina fatima</cp:lastModifiedBy>
  <cp:revision>7</cp:revision>
  <dcterms:created xsi:type="dcterms:W3CDTF">2020-11-28T13:53:00Z</dcterms:created>
  <dcterms:modified xsi:type="dcterms:W3CDTF">2020-11-29T01:13:00Z</dcterms:modified>
</cp:coreProperties>
</file>